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77FBB" w14:textId="41D276CC" w:rsidR="001A4C18" w:rsidRDefault="007A3904" w:rsidP="001A4C18">
      <w:r>
        <w:rPr>
          <w:noProof/>
          <w:lang w:eastAsia="et-EE"/>
        </w:rPr>
        <w:drawing>
          <wp:anchor distT="0" distB="0" distL="114300" distR="114300" simplePos="0" relativeHeight="251663360" behindDoc="0" locked="0" layoutInCell="1" allowOverlap="1" wp14:anchorId="1E14BD4B" wp14:editId="4D7A7B5B">
            <wp:simplePos x="0" y="0"/>
            <wp:positionH relativeFrom="margin">
              <wp:posOffset>-274955</wp:posOffset>
            </wp:positionH>
            <wp:positionV relativeFrom="page">
              <wp:align>top</wp:align>
            </wp:positionV>
            <wp:extent cx="2233295" cy="891540"/>
            <wp:effectExtent l="0" t="0" r="0" b="0"/>
            <wp:wrapSquare wrapText="bothSides"/>
            <wp:docPr id="26" name="Picture 2"/>
            <wp:cNvGraphicFramePr/>
            <a:graphic xmlns:a="http://schemas.openxmlformats.org/drawingml/2006/main">
              <a:graphicData uri="http://schemas.openxmlformats.org/drawingml/2006/picture">
                <pic:pic xmlns:pic="http://schemas.openxmlformats.org/drawingml/2006/picture">
                  <pic:nvPicPr>
                    <pic:cNvPr id="26" name="Picture 2"/>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233295" cy="891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7A91B248" wp14:editId="04B05587">
            <wp:simplePos x="0" y="0"/>
            <wp:positionH relativeFrom="page">
              <wp:align>left</wp:align>
            </wp:positionH>
            <wp:positionV relativeFrom="paragraph">
              <wp:posOffset>-13</wp:posOffset>
            </wp:positionV>
            <wp:extent cx="7555230" cy="10164502"/>
            <wp:effectExtent l="0" t="0" r="7620" b="8255"/>
            <wp:wrapNone/>
            <wp:docPr id="13" name="Pilt 13" descr="Pilt, millel on kujutatud tekst, lennuk, pilve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lt 13" descr="Pilt, millel on kujutatud tekst, lennuk, pilved&#10;&#10;Kirjeldus on genereeritud automaatselt"/>
                    <pic:cNvPicPr/>
                  </pic:nvPicPr>
                  <pic:blipFill>
                    <a:blip r:embed="rId12">
                      <a:extLst>
                        <a:ext uri="{28A0092B-C50C-407E-A947-70E740481C1C}">
                          <a14:useLocalDpi xmlns:a14="http://schemas.microsoft.com/office/drawing/2010/main" val="0"/>
                        </a:ext>
                      </a:extLst>
                    </a:blip>
                    <a:stretch>
                      <a:fillRect/>
                    </a:stretch>
                  </pic:blipFill>
                  <pic:spPr>
                    <a:xfrm>
                      <a:off x="0" y="0"/>
                      <a:ext cx="7555230" cy="10164502"/>
                    </a:xfrm>
                    <a:prstGeom prst="rect">
                      <a:avLst/>
                    </a:prstGeom>
                  </pic:spPr>
                </pic:pic>
              </a:graphicData>
            </a:graphic>
            <wp14:sizeRelH relativeFrom="page">
              <wp14:pctWidth>0</wp14:pctWidth>
            </wp14:sizeRelH>
            <wp14:sizeRelV relativeFrom="page">
              <wp14:pctHeight>0</wp14:pctHeight>
            </wp14:sizeRelV>
          </wp:anchor>
        </w:drawing>
      </w:r>
      <w:r w:rsidR="001A4C18">
        <w:rPr>
          <w:noProof/>
          <w:lang w:eastAsia="et-EE"/>
        </w:rPr>
        <w:t xml:space="preserve"> </w:t>
      </w:r>
    </w:p>
    <w:p w14:paraId="25CBFF7A" w14:textId="28ACE297" w:rsidR="001A4C18" w:rsidRDefault="001A4C18" w:rsidP="001A4C18">
      <w:bookmarkStart w:id="0" w:name="_Hlk99102401"/>
      <w:bookmarkEnd w:id="0"/>
    </w:p>
    <w:p w14:paraId="589225A4" w14:textId="0004AEB6" w:rsidR="009A4FF0" w:rsidRPr="005822EA" w:rsidRDefault="009A4FF0" w:rsidP="00E66452">
      <w:pPr>
        <w:pStyle w:val="SK9"/>
        <w:jc w:val="both"/>
        <w:sectPr w:rsidR="009A4FF0" w:rsidRPr="005822EA" w:rsidSect="0093189D">
          <w:footerReference w:type="default" r:id="rId13"/>
          <w:footerReference w:type="first" r:id="rId14"/>
          <w:endnotePr>
            <w:numFmt w:val="decimal"/>
          </w:endnotePr>
          <w:pgSz w:w="11906" w:h="16838"/>
          <w:pgMar w:top="964" w:right="964" w:bottom="964" w:left="964" w:header="567" w:footer="567" w:gutter="0"/>
          <w:cols w:space="708"/>
          <w:titlePg/>
          <w:docGrid w:linePitch="360"/>
        </w:sectPr>
      </w:pPr>
    </w:p>
    <w:p w14:paraId="79BAFA83" w14:textId="77777777" w:rsidR="00A54063" w:rsidRPr="005822EA" w:rsidRDefault="00A54063" w:rsidP="00E66452">
      <w:pPr>
        <w:jc w:val="both"/>
      </w:pPr>
    </w:p>
    <w:p w14:paraId="1529700C" w14:textId="77777777" w:rsidR="00522497" w:rsidRPr="005822EA" w:rsidRDefault="00522497" w:rsidP="00E66452">
      <w:pPr>
        <w:jc w:val="both"/>
      </w:pPr>
    </w:p>
    <w:p w14:paraId="71BC4AF5" w14:textId="77777777" w:rsidR="00522497" w:rsidRPr="005822EA" w:rsidRDefault="00522497" w:rsidP="00E66452">
      <w:pPr>
        <w:jc w:val="both"/>
      </w:pPr>
    </w:p>
    <w:p w14:paraId="5F948799" w14:textId="77777777" w:rsidR="00EB711D" w:rsidRPr="005822EA" w:rsidRDefault="00EB711D" w:rsidP="00E66452">
      <w:pPr>
        <w:jc w:val="both"/>
      </w:pPr>
    </w:p>
    <w:p w14:paraId="6022D651" w14:textId="77777777" w:rsidR="00522497" w:rsidRPr="005822EA" w:rsidRDefault="00522497" w:rsidP="00E66452">
      <w:pPr>
        <w:jc w:val="both"/>
      </w:pPr>
    </w:p>
    <w:p w14:paraId="3384C42F" w14:textId="77777777" w:rsidR="00522497" w:rsidRPr="005822EA" w:rsidRDefault="00522497" w:rsidP="00E66452">
      <w:pPr>
        <w:jc w:val="both"/>
        <w:sectPr w:rsidR="00522497" w:rsidRPr="005822EA" w:rsidSect="0093189D">
          <w:endnotePr>
            <w:numFmt w:val="decimal"/>
          </w:endnotePr>
          <w:pgSz w:w="11906" w:h="16838"/>
          <w:pgMar w:top="964" w:right="964" w:bottom="964" w:left="964" w:header="567" w:footer="567" w:gutter="0"/>
          <w:cols w:space="708"/>
          <w:titlePg/>
          <w:docGrid w:linePitch="360"/>
        </w:sectPr>
      </w:pPr>
    </w:p>
    <w:p w14:paraId="076701FD" w14:textId="77777777" w:rsidR="001F6552" w:rsidRPr="005822EA" w:rsidRDefault="001F6552" w:rsidP="00E66452">
      <w:pPr>
        <w:pStyle w:val="Numbritapealkiri"/>
        <w:jc w:val="both"/>
      </w:pPr>
      <w:bookmarkStart w:id="1" w:name="_Toc64844916"/>
      <w:bookmarkStart w:id="2" w:name="_Toc64847868"/>
      <w:bookmarkStart w:id="3" w:name="_Toc64848901"/>
      <w:bookmarkStart w:id="4" w:name="_Toc100230248"/>
      <w:r w:rsidRPr="005822EA">
        <w:t>EESSÕNA</w:t>
      </w:r>
      <w:bookmarkEnd w:id="1"/>
      <w:bookmarkEnd w:id="2"/>
      <w:bookmarkEnd w:id="3"/>
      <w:bookmarkEnd w:id="4"/>
    </w:p>
    <w:p w14:paraId="2A69DC71" w14:textId="3B0CACEB" w:rsidR="00373254" w:rsidRDefault="00FC5309" w:rsidP="006A5CB8">
      <w:pPr>
        <w:pStyle w:val="Phitekst"/>
      </w:pPr>
      <w:r w:rsidRPr="00FC5309">
        <w:t>Käesolev majandus- ja rahandusprognoos on taaskord tehtud enneolematult ebakindlates oludes. Prognoosieelduste fikseerimise ajaks märtsi keskpaigas ei olnud Vene agressioonile Ukrainas näha mingisugust tõenäolist lahendust, mida oleks võinud kasutada Eesti ja meie lähemate kaubanduspartnerite majandusarengu hindamisel. Seetõttu on ka majandusprognoosi seletuskiri tavapärasest lühem, kuna tulevikustsenaariumide detailne kirjeldamine oleks praegu liiga spekulatiivne.</w:t>
      </w:r>
    </w:p>
    <w:p w14:paraId="70527BF9" w14:textId="593E7A11" w:rsidR="002F3E04" w:rsidRDefault="002F3E04" w:rsidP="006A5CB8">
      <w:pPr>
        <w:pStyle w:val="Phitekst"/>
      </w:pPr>
      <w:r w:rsidRPr="002F3E04">
        <w:t xml:space="preserve">Kui tavaliselt on ministeeriumi kevadine prognoos riigi nelja-aastase eelarvestrateegia (RES) ja Euroopa Komisjonile esitatava stabiilsusprogrammi ning suvine prognoos eelkõige järgmise aasta riigieelarve koostamise aluseks, siis 2022. aasta kevadprognoosi põhjal </w:t>
      </w:r>
      <w:proofErr w:type="spellStart"/>
      <w:r w:rsidRPr="002F3E04">
        <w:t>RESi</w:t>
      </w:r>
      <w:proofErr w:type="spellEnd"/>
      <w:r w:rsidRPr="002F3E04">
        <w:t xml:space="preserve"> ega riigieelarvet ei kavandata. Seetõttu on ka prognoosinumbritel seekord väiksem roll riigi tulu- ja kuluplaanide kujundamisel. Loodetavasti on suvise prognoosi tegemise ajaks sõjatolm laskunud ja selgust tuleviku osas rohkem.</w:t>
      </w:r>
    </w:p>
    <w:p w14:paraId="447E91CC" w14:textId="1C0A8EFA" w:rsidR="002F3E04" w:rsidRDefault="002F3E04" w:rsidP="002F3E04">
      <w:pPr>
        <w:pStyle w:val="Phitekst"/>
      </w:pPr>
      <w:r>
        <w:t>Prognoosi koostamist reguleerib Riigieelarve seadus. Prognoosi aluseks on viimane avaldatud majandus- ja rahandusstatistika ning see on koostatud jooksva ning järgneva nelja aasta kohta. Vastavalt seadusele ollakse selle koostamisel ning metoodilistes valikutes sõltumatud. Metoodilised valikud on tehtud parima teadmise juures ning läbipaistvalt. Käesoleva prognoosi eeldused on fikseeritud 2022. aasta märtsi keskpaiga seisuga.</w:t>
      </w:r>
    </w:p>
    <w:p w14:paraId="46AC1F3E" w14:textId="37A60B22" w:rsidR="002F3E04" w:rsidRDefault="002F3E04" w:rsidP="002F3E04">
      <w:pPr>
        <w:pStyle w:val="Phitekst"/>
      </w:pPr>
      <w:r>
        <w:t xml:space="preserve">Vastavalt Riigieelarve seaduse paragrahvile 4 hindab Eelarvenõukogu riigi makromajandusprognoose ja rahandusprognoose. Eelarvenõukogu annab arvamuse prognoosi kohta kahe nädala jooksul nende avaldamisest alates, hinnangud avalikustatakse nende kodulehel: </w:t>
      </w:r>
      <w:hyperlink r:id="rId15" w:history="1">
        <w:r w:rsidRPr="0022460C">
          <w:rPr>
            <w:rStyle w:val="Hperlink"/>
          </w:rPr>
          <w:t>https://eelarvenoukogu.ee/et</w:t>
        </w:r>
      </w:hyperlink>
      <w:r>
        <w:t xml:space="preserve"> Oma viimases hinnangus 23. septembril leidis Eelarvenõukogu, et rahandusministeeriumi 202</w:t>
      </w:r>
      <w:r w:rsidR="00022BDA">
        <w:t>1</w:t>
      </w:r>
      <w:r>
        <w:t>. aasta suvine majandusprognoos on sobiv alus eelarvepoliitika kavandamiseks, kuid 2021.–2022. aasta majanduskasv võib kujuneda loodetust väiksemaks. Nii on ka läinud, kuigi hoopis teistel põhjustel, mida pool aastat tagasi ette näha ei suudetud.</w:t>
      </w:r>
    </w:p>
    <w:p w14:paraId="161CAF2E" w14:textId="532C1D99" w:rsidR="002F3E04" w:rsidRDefault="002F3E04" w:rsidP="002F3E04">
      <w:pPr>
        <w:pStyle w:val="Phitekst"/>
      </w:pPr>
      <w:r>
        <w:t xml:space="preserve">Seekordses prognoosi seletuskirjas kirjutame pikemalt energiahindadest, põgenikest ja </w:t>
      </w:r>
      <w:r w:rsidR="00686803">
        <w:t xml:space="preserve">Venemaa sõjalise agressiooni majanduslikust </w:t>
      </w:r>
      <w:r>
        <w:t>mõjust.</w:t>
      </w:r>
    </w:p>
    <w:p w14:paraId="3CE9E444" w14:textId="77777777" w:rsidR="009546D8" w:rsidRPr="005822EA" w:rsidRDefault="009546D8" w:rsidP="006A5CB8">
      <w:pPr>
        <w:pStyle w:val="Phitekst"/>
      </w:pPr>
    </w:p>
    <w:p w14:paraId="73E6E7D5" w14:textId="77777777" w:rsidR="00B614AB" w:rsidRPr="006A5CB8" w:rsidRDefault="009546D8" w:rsidP="00E66452">
      <w:pPr>
        <w:pStyle w:val="Rhutus1"/>
      </w:pPr>
      <w:r w:rsidRPr="006A5CB8">
        <w:t>Fiskaalpoliitika osakond</w:t>
      </w:r>
    </w:p>
    <w:p w14:paraId="7C58BC21" w14:textId="3E608C74" w:rsidR="00B614AB" w:rsidRPr="005822EA" w:rsidRDefault="00570FA9" w:rsidP="008C01F1">
      <w:pPr>
        <w:pStyle w:val="Mrkus"/>
        <w:tabs>
          <w:tab w:val="left" w:pos="6874"/>
        </w:tabs>
        <w:jc w:val="both"/>
      </w:pPr>
      <w:r w:rsidRPr="005822EA">
        <w:t xml:space="preserve"> </w:t>
      </w:r>
      <w:r w:rsidR="008C01F1">
        <w:tab/>
      </w:r>
    </w:p>
    <w:p w14:paraId="7336319A" w14:textId="18F902A1" w:rsidR="00522497" w:rsidRPr="006A5CB8" w:rsidRDefault="00E853F5" w:rsidP="008C01F1">
      <w:pPr>
        <w:pStyle w:val="Rhutus1"/>
        <w:tabs>
          <w:tab w:val="left" w:pos="6874"/>
        </w:tabs>
        <w:sectPr w:rsidR="00522497" w:rsidRPr="006A5CB8" w:rsidSect="0093189D">
          <w:endnotePr>
            <w:numFmt w:val="decimal"/>
          </w:endnotePr>
          <w:type w:val="continuous"/>
          <w:pgSz w:w="11906" w:h="16838"/>
          <w:pgMar w:top="964" w:right="964" w:bottom="964" w:left="964" w:header="709" w:footer="709" w:gutter="0"/>
          <w:cols w:space="708"/>
          <w:docGrid w:linePitch="360"/>
        </w:sectPr>
      </w:pPr>
      <w:r>
        <w:rPr>
          <w:noProof/>
          <w:lang w:eastAsia="et-EE"/>
        </w:rPr>
        <mc:AlternateContent>
          <mc:Choice Requires="wps">
            <w:drawing>
              <wp:anchor distT="45720" distB="45720" distL="114300" distR="114300" simplePos="0" relativeHeight="251660288" behindDoc="0" locked="0" layoutInCell="1" allowOverlap="1" wp14:anchorId="4B586A1A" wp14:editId="23E68EB7">
                <wp:simplePos x="0" y="0"/>
                <wp:positionH relativeFrom="margin">
                  <wp:align>right</wp:align>
                </wp:positionH>
                <wp:positionV relativeFrom="margin">
                  <wp:posOffset>8547735</wp:posOffset>
                </wp:positionV>
                <wp:extent cx="6307455" cy="641985"/>
                <wp:effectExtent l="0" t="0" r="0" b="5715"/>
                <wp:wrapSquare wrapText="bothSides"/>
                <wp:docPr id="217"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7455" cy="641985"/>
                        </a:xfrm>
                        <a:prstGeom prst="rect">
                          <a:avLst/>
                        </a:prstGeom>
                        <a:solidFill>
                          <a:srgbClr val="FFFFFF"/>
                        </a:solidFill>
                        <a:ln w="9525">
                          <a:noFill/>
                          <a:miter lim="800000"/>
                          <a:headEnd/>
                          <a:tailEnd/>
                        </a:ln>
                      </wps:spPr>
                      <wps:txbx>
                        <w:txbxContent>
                          <w:p w14:paraId="6A57E3F3" w14:textId="43DD84DA" w:rsidR="004859A1" w:rsidRDefault="004859A1" w:rsidP="006C4B58">
                            <w:pPr>
                              <w:pStyle w:val="Mrkus"/>
                              <w:spacing w:before="0" w:after="0"/>
                            </w:pPr>
                            <w:r w:rsidRPr="00E07EF5">
                              <w:t>Kaanefoto:</w:t>
                            </w:r>
                          </w:p>
                          <w:p w14:paraId="51F0A230" w14:textId="3C36FB96" w:rsidR="00863E47" w:rsidRDefault="00863E47" w:rsidP="006C4B58">
                            <w:pPr>
                              <w:pStyle w:val="Mrkus"/>
                              <w:spacing w:before="0" w:after="0"/>
                            </w:pPr>
                            <w:hyperlink r:id="rId16" w:history="1">
                              <w:r w:rsidRPr="00B3478B">
                                <w:rPr>
                                  <w:rStyle w:val="Hperlink"/>
                                </w:rPr>
                                <w:t>https://www.istockphoto.com/photo/flying-drone-quadcopter-over-the-rapeseed-field-gm936319336-256122763</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586A1A" id="_x0000_t202" coordsize="21600,21600" o:spt="202" path="m,l,21600r21600,l21600,xe">
                <v:stroke joinstyle="miter"/>
                <v:path gradientshapeok="t" o:connecttype="rect"/>
              </v:shapetype>
              <v:shape id="Tekstiväli 2" o:spid="_x0000_s1026" type="#_x0000_t202" style="position:absolute;left:0;text-align:left;margin-left:445.45pt;margin-top:673.05pt;width:496.65pt;height:50.5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" stroked="f">
                <v:textbox>
                  <w:txbxContent>
                    <w:p w14:paraId="6A57E3F3" w14:textId="43DD84DA" w:rsidR="004859A1" w:rsidRDefault="004859A1" w:rsidP="006C4B58">
                      <w:pPr>
                        <w:pStyle w:val="Mrkus"/>
                        <w:spacing w:before="0" w:after="0"/>
                      </w:pPr>
                      <w:r w:rsidRPr="00E07EF5">
                        <w:t>Kaanefoto:</w:t>
                      </w:r>
                    </w:p>
                    <w:p w14:paraId="51F0A230" w14:textId="3C36FB96" w:rsidR="00863E47" w:rsidRDefault="00863E47" w:rsidP="006C4B58">
                      <w:pPr>
                        <w:pStyle w:val="Mrkus"/>
                        <w:spacing w:before="0" w:after="0"/>
                      </w:pPr>
                      <w:hyperlink r:id="rId17" w:history="1">
                        <w:r w:rsidRPr="00B3478B">
                          <w:rPr>
                            <w:rStyle w:val="Hperlink"/>
                          </w:rPr>
                          <w:t>https://www.istockphoto.com/photo/flying-drone-quadcopter-over-the-rapeseed-field-gm936319336-256122763</w:t>
                        </w:r>
                      </w:hyperlink>
                      <w:r>
                        <w:t xml:space="preserve"> </w:t>
                      </w:r>
                    </w:p>
                  </w:txbxContent>
                </v:textbox>
                <w10:wrap type="square" anchorx="margin" anchory="margin"/>
              </v:shape>
            </w:pict>
          </mc:Fallback>
        </mc:AlternateContent>
      </w:r>
      <w:r w:rsidR="008C01F1">
        <w:tab/>
      </w:r>
    </w:p>
    <w:p w14:paraId="0119C547" w14:textId="10BBF6C5" w:rsidR="009546D8" w:rsidRDefault="009546D8" w:rsidP="00E66452">
      <w:pPr>
        <w:pStyle w:val="Numbritapealkiri"/>
        <w:jc w:val="both"/>
      </w:pPr>
      <w:bookmarkStart w:id="5" w:name="_Toc64844917"/>
      <w:bookmarkStart w:id="6" w:name="_Toc64847869"/>
      <w:bookmarkStart w:id="7" w:name="_Toc64848902"/>
      <w:bookmarkStart w:id="8" w:name="_Toc100230249"/>
      <w:r w:rsidRPr="005822EA">
        <w:lastRenderedPageBreak/>
        <w:t>SISUKORD</w:t>
      </w:r>
      <w:bookmarkEnd w:id="5"/>
      <w:bookmarkEnd w:id="6"/>
      <w:bookmarkEnd w:id="7"/>
      <w:bookmarkEnd w:id="8"/>
    </w:p>
    <w:sdt>
      <w:sdtPr>
        <w:rPr>
          <w:rFonts w:ascii="Roboto" w:hAnsi="Roboto" w:cstheme="minorBidi"/>
          <w:b w:val="0"/>
          <w:bCs w:val="0"/>
          <w:caps w:val="0"/>
          <w:szCs w:val="22"/>
        </w:rPr>
        <w:id w:val="982741637"/>
        <w:docPartObj>
          <w:docPartGallery w:val="Table of Contents"/>
          <w:docPartUnique/>
        </w:docPartObj>
      </w:sdtPr>
      <w:sdtEndPr>
        <w:rPr>
          <w:rFonts w:asciiTheme="minorHAnsi" w:hAnsiTheme="minorHAnsi"/>
        </w:rPr>
      </w:sdtEndPr>
      <w:sdtContent>
        <w:p w14:paraId="0C14C1D8" w14:textId="4333A331" w:rsidR="003A01AA" w:rsidRDefault="00CD7FAE">
          <w:pPr>
            <w:pStyle w:val="SK1"/>
            <w:rPr>
              <w:rFonts w:eastAsiaTheme="minorEastAsia" w:cstheme="minorBidi"/>
              <w:b w:val="0"/>
              <w:bCs w:val="0"/>
              <w:caps w:val="0"/>
              <w:noProof/>
              <w:szCs w:val="22"/>
              <w:lang w:eastAsia="et-EE"/>
            </w:rPr>
          </w:pPr>
          <w:r w:rsidRPr="005822EA">
            <w:rPr>
              <w:rFonts w:ascii="Segoe UI" w:hAnsi="Segoe UI"/>
            </w:rPr>
            <w:fldChar w:fldCharType="begin"/>
          </w:r>
          <w:r w:rsidRPr="005822EA">
            <w:instrText xml:space="preserve"> TOC \o "1-3" \h \z \u </w:instrText>
          </w:r>
          <w:r w:rsidRPr="005822EA">
            <w:rPr>
              <w:rFonts w:ascii="Segoe UI" w:hAnsi="Segoe UI"/>
            </w:rPr>
            <w:fldChar w:fldCharType="separate"/>
          </w:r>
          <w:hyperlink w:anchor="_Toc100230248" w:history="1">
            <w:r w:rsidR="003A01AA" w:rsidRPr="00A93187">
              <w:rPr>
                <w:rStyle w:val="Hperlink"/>
                <w:noProof/>
              </w:rPr>
              <w:t>EESSÕNA</w:t>
            </w:r>
            <w:r w:rsidR="003A01AA">
              <w:rPr>
                <w:noProof/>
                <w:webHidden/>
              </w:rPr>
              <w:tab/>
            </w:r>
            <w:r w:rsidR="003A01AA">
              <w:rPr>
                <w:noProof/>
                <w:webHidden/>
              </w:rPr>
              <w:fldChar w:fldCharType="begin"/>
            </w:r>
            <w:r w:rsidR="003A01AA">
              <w:rPr>
                <w:noProof/>
                <w:webHidden/>
              </w:rPr>
              <w:instrText xml:space="preserve"> PAGEREF _Toc100230248 \h </w:instrText>
            </w:r>
            <w:r w:rsidR="003A01AA">
              <w:rPr>
                <w:noProof/>
                <w:webHidden/>
              </w:rPr>
            </w:r>
            <w:r w:rsidR="003A01AA">
              <w:rPr>
                <w:noProof/>
                <w:webHidden/>
              </w:rPr>
              <w:fldChar w:fldCharType="separate"/>
            </w:r>
            <w:r w:rsidR="003A01AA">
              <w:rPr>
                <w:noProof/>
                <w:webHidden/>
              </w:rPr>
              <w:t>2</w:t>
            </w:r>
            <w:r w:rsidR="003A01AA">
              <w:rPr>
                <w:noProof/>
                <w:webHidden/>
              </w:rPr>
              <w:fldChar w:fldCharType="end"/>
            </w:r>
          </w:hyperlink>
        </w:p>
        <w:p w14:paraId="135D3577" w14:textId="4324C9D7" w:rsidR="003A01AA" w:rsidRDefault="003A01AA">
          <w:pPr>
            <w:pStyle w:val="SK1"/>
            <w:rPr>
              <w:rFonts w:eastAsiaTheme="minorEastAsia" w:cstheme="minorBidi"/>
              <w:b w:val="0"/>
              <w:bCs w:val="0"/>
              <w:caps w:val="0"/>
              <w:noProof/>
              <w:szCs w:val="22"/>
              <w:lang w:eastAsia="et-EE"/>
            </w:rPr>
          </w:pPr>
          <w:hyperlink w:anchor="_Toc100230249" w:history="1">
            <w:r w:rsidRPr="00A93187">
              <w:rPr>
                <w:rStyle w:val="Hperlink"/>
                <w:noProof/>
              </w:rPr>
              <w:t>SISUKORD</w:t>
            </w:r>
            <w:r>
              <w:rPr>
                <w:noProof/>
                <w:webHidden/>
              </w:rPr>
              <w:tab/>
            </w:r>
            <w:r>
              <w:rPr>
                <w:noProof/>
                <w:webHidden/>
              </w:rPr>
              <w:fldChar w:fldCharType="begin"/>
            </w:r>
            <w:r>
              <w:rPr>
                <w:noProof/>
                <w:webHidden/>
              </w:rPr>
              <w:instrText xml:space="preserve"> PAGEREF _Toc100230249 \h </w:instrText>
            </w:r>
            <w:r>
              <w:rPr>
                <w:noProof/>
                <w:webHidden/>
              </w:rPr>
            </w:r>
            <w:r>
              <w:rPr>
                <w:noProof/>
                <w:webHidden/>
              </w:rPr>
              <w:fldChar w:fldCharType="separate"/>
            </w:r>
            <w:r>
              <w:rPr>
                <w:noProof/>
                <w:webHidden/>
              </w:rPr>
              <w:t>3</w:t>
            </w:r>
            <w:r>
              <w:rPr>
                <w:noProof/>
                <w:webHidden/>
              </w:rPr>
              <w:fldChar w:fldCharType="end"/>
            </w:r>
          </w:hyperlink>
        </w:p>
        <w:p w14:paraId="79D8E055" w14:textId="22F01474" w:rsidR="003A01AA" w:rsidRDefault="003A01AA">
          <w:pPr>
            <w:pStyle w:val="SK1"/>
            <w:rPr>
              <w:rFonts w:eastAsiaTheme="minorEastAsia" w:cstheme="minorBidi"/>
              <w:b w:val="0"/>
              <w:bCs w:val="0"/>
              <w:caps w:val="0"/>
              <w:noProof/>
              <w:szCs w:val="22"/>
              <w:lang w:eastAsia="et-EE"/>
            </w:rPr>
          </w:pPr>
          <w:hyperlink w:anchor="_Toc100230250" w:history="1">
            <w:r w:rsidRPr="00A93187">
              <w:rPr>
                <w:rStyle w:val="Hperlink"/>
                <w:noProof/>
              </w:rPr>
              <w:t>JOONISED</w:t>
            </w:r>
            <w:r>
              <w:rPr>
                <w:noProof/>
                <w:webHidden/>
              </w:rPr>
              <w:tab/>
            </w:r>
            <w:r>
              <w:rPr>
                <w:noProof/>
                <w:webHidden/>
              </w:rPr>
              <w:fldChar w:fldCharType="begin"/>
            </w:r>
            <w:r>
              <w:rPr>
                <w:noProof/>
                <w:webHidden/>
              </w:rPr>
              <w:instrText xml:space="preserve"> PAGEREF _Toc100230250 \h </w:instrText>
            </w:r>
            <w:r>
              <w:rPr>
                <w:noProof/>
                <w:webHidden/>
              </w:rPr>
            </w:r>
            <w:r>
              <w:rPr>
                <w:noProof/>
                <w:webHidden/>
              </w:rPr>
              <w:fldChar w:fldCharType="separate"/>
            </w:r>
            <w:r>
              <w:rPr>
                <w:noProof/>
                <w:webHidden/>
              </w:rPr>
              <w:t>4</w:t>
            </w:r>
            <w:r>
              <w:rPr>
                <w:noProof/>
                <w:webHidden/>
              </w:rPr>
              <w:fldChar w:fldCharType="end"/>
            </w:r>
          </w:hyperlink>
        </w:p>
        <w:p w14:paraId="10230F5F" w14:textId="7B22D60B" w:rsidR="003A01AA" w:rsidRDefault="003A01AA">
          <w:pPr>
            <w:pStyle w:val="SK1"/>
            <w:rPr>
              <w:rFonts w:eastAsiaTheme="minorEastAsia" w:cstheme="minorBidi"/>
              <w:b w:val="0"/>
              <w:bCs w:val="0"/>
              <w:caps w:val="0"/>
              <w:noProof/>
              <w:szCs w:val="22"/>
              <w:lang w:eastAsia="et-EE"/>
            </w:rPr>
          </w:pPr>
          <w:hyperlink w:anchor="_Toc100230251" w:history="1">
            <w:r w:rsidRPr="00A93187">
              <w:rPr>
                <w:rStyle w:val="Hperlink"/>
                <w:noProof/>
              </w:rPr>
              <w:t>TABELID</w:t>
            </w:r>
            <w:r>
              <w:rPr>
                <w:noProof/>
                <w:webHidden/>
              </w:rPr>
              <w:tab/>
            </w:r>
            <w:r>
              <w:rPr>
                <w:noProof/>
                <w:webHidden/>
              </w:rPr>
              <w:fldChar w:fldCharType="begin"/>
            </w:r>
            <w:r>
              <w:rPr>
                <w:noProof/>
                <w:webHidden/>
              </w:rPr>
              <w:instrText xml:space="preserve"> PAGEREF _Toc100230251 \h </w:instrText>
            </w:r>
            <w:r>
              <w:rPr>
                <w:noProof/>
                <w:webHidden/>
              </w:rPr>
            </w:r>
            <w:r>
              <w:rPr>
                <w:noProof/>
                <w:webHidden/>
              </w:rPr>
              <w:fldChar w:fldCharType="separate"/>
            </w:r>
            <w:r>
              <w:rPr>
                <w:noProof/>
                <w:webHidden/>
              </w:rPr>
              <w:t>4</w:t>
            </w:r>
            <w:r>
              <w:rPr>
                <w:noProof/>
                <w:webHidden/>
              </w:rPr>
              <w:fldChar w:fldCharType="end"/>
            </w:r>
          </w:hyperlink>
        </w:p>
        <w:p w14:paraId="2C1177F8" w14:textId="670410E9" w:rsidR="003A01AA" w:rsidRDefault="003A01AA">
          <w:pPr>
            <w:pStyle w:val="SK1"/>
            <w:rPr>
              <w:rFonts w:eastAsiaTheme="minorEastAsia" w:cstheme="minorBidi"/>
              <w:b w:val="0"/>
              <w:bCs w:val="0"/>
              <w:caps w:val="0"/>
              <w:noProof/>
              <w:szCs w:val="22"/>
              <w:lang w:eastAsia="et-EE"/>
            </w:rPr>
          </w:pPr>
          <w:hyperlink w:anchor="_Toc100230252" w:history="1">
            <w:r w:rsidRPr="00A93187">
              <w:rPr>
                <w:rStyle w:val="Hperlink"/>
                <w:noProof/>
              </w:rPr>
              <w:t>KOKKUVÕTE</w:t>
            </w:r>
            <w:r>
              <w:rPr>
                <w:noProof/>
                <w:webHidden/>
              </w:rPr>
              <w:tab/>
            </w:r>
            <w:r>
              <w:rPr>
                <w:noProof/>
                <w:webHidden/>
              </w:rPr>
              <w:fldChar w:fldCharType="begin"/>
            </w:r>
            <w:r>
              <w:rPr>
                <w:noProof/>
                <w:webHidden/>
              </w:rPr>
              <w:instrText xml:space="preserve"> PAGEREF _Toc100230252 \h </w:instrText>
            </w:r>
            <w:r>
              <w:rPr>
                <w:noProof/>
                <w:webHidden/>
              </w:rPr>
            </w:r>
            <w:r>
              <w:rPr>
                <w:noProof/>
                <w:webHidden/>
              </w:rPr>
              <w:fldChar w:fldCharType="separate"/>
            </w:r>
            <w:r>
              <w:rPr>
                <w:noProof/>
                <w:webHidden/>
              </w:rPr>
              <w:t>5</w:t>
            </w:r>
            <w:r>
              <w:rPr>
                <w:noProof/>
                <w:webHidden/>
              </w:rPr>
              <w:fldChar w:fldCharType="end"/>
            </w:r>
          </w:hyperlink>
        </w:p>
        <w:p w14:paraId="3534315F" w14:textId="520D5D35" w:rsidR="003A01AA" w:rsidRDefault="003A01AA">
          <w:pPr>
            <w:pStyle w:val="SK1"/>
            <w:rPr>
              <w:rFonts w:eastAsiaTheme="minorEastAsia" w:cstheme="minorBidi"/>
              <w:b w:val="0"/>
              <w:bCs w:val="0"/>
              <w:caps w:val="0"/>
              <w:noProof/>
              <w:szCs w:val="22"/>
              <w:lang w:eastAsia="et-EE"/>
            </w:rPr>
          </w:pPr>
          <w:hyperlink w:anchor="_Toc100230253" w:history="1">
            <w:r w:rsidRPr="00A93187">
              <w:rPr>
                <w:rStyle w:val="Hperlink"/>
                <w:noProof/>
              </w:rPr>
              <w:t>1</w:t>
            </w:r>
            <w:r>
              <w:rPr>
                <w:rFonts w:eastAsiaTheme="minorEastAsia" w:cstheme="minorBidi"/>
                <w:b w:val="0"/>
                <w:bCs w:val="0"/>
                <w:caps w:val="0"/>
                <w:noProof/>
                <w:szCs w:val="22"/>
                <w:lang w:eastAsia="et-EE"/>
              </w:rPr>
              <w:tab/>
            </w:r>
            <w:r w:rsidRPr="00A93187">
              <w:rPr>
                <w:rStyle w:val="Hperlink"/>
                <w:noProof/>
              </w:rPr>
              <w:t>MAKROMAJANDUSPROGNOOS</w:t>
            </w:r>
            <w:r>
              <w:rPr>
                <w:noProof/>
                <w:webHidden/>
              </w:rPr>
              <w:tab/>
            </w:r>
            <w:r>
              <w:rPr>
                <w:noProof/>
                <w:webHidden/>
              </w:rPr>
              <w:fldChar w:fldCharType="begin"/>
            </w:r>
            <w:r>
              <w:rPr>
                <w:noProof/>
                <w:webHidden/>
              </w:rPr>
              <w:instrText xml:space="preserve"> PAGEREF _Toc100230253 \h </w:instrText>
            </w:r>
            <w:r>
              <w:rPr>
                <w:noProof/>
                <w:webHidden/>
              </w:rPr>
            </w:r>
            <w:r>
              <w:rPr>
                <w:noProof/>
                <w:webHidden/>
              </w:rPr>
              <w:fldChar w:fldCharType="separate"/>
            </w:r>
            <w:r>
              <w:rPr>
                <w:noProof/>
                <w:webHidden/>
              </w:rPr>
              <w:t>6</w:t>
            </w:r>
            <w:r>
              <w:rPr>
                <w:noProof/>
                <w:webHidden/>
              </w:rPr>
              <w:fldChar w:fldCharType="end"/>
            </w:r>
          </w:hyperlink>
        </w:p>
        <w:p w14:paraId="2E56DFE8" w14:textId="1BFEC31C" w:rsidR="003A01AA" w:rsidRDefault="003A01AA">
          <w:pPr>
            <w:pStyle w:val="SK2"/>
            <w:rPr>
              <w:rFonts w:eastAsiaTheme="minorEastAsia" w:cstheme="minorBidi"/>
              <w:caps w:val="0"/>
              <w:noProof/>
              <w:szCs w:val="22"/>
              <w:lang w:eastAsia="et-EE"/>
            </w:rPr>
          </w:pPr>
          <w:hyperlink w:anchor="_Toc100230254" w:history="1">
            <w:r w:rsidRPr="00A93187">
              <w:rPr>
                <w:rStyle w:val="Hperlink"/>
                <w:noProof/>
              </w:rPr>
              <w:t>1.1</w:t>
            </w:r>
            <w:r>
              <w:rPr>
                <w:rFonts w:eastAsiaTheme="minorEastAsia" w:cstheme="minorBidi"/>
                <w:caps w:val="0"/>
                <w:noProof/>
                <w:szCs w:val="22"/>
                <w:lang w:eastAsia="et-EE"/>
              </w:rPr>
              <w:tab/>
            </w:r>
            <w:r w:rsidRPr="00A93187">
              <w:rPr>
                <w:rStyle w:val="Hperlink"/>
                <w:noProof/>
              </w:rPr>
              <w:t>Prognoosi eeldused</w:t>
            </w:r>
            <w:r>
              <w:rPr>
                <w:noProof/>
                <w:webHidden/>
              </w:rPr>
              <w:tab/>
            </w:r>
            <w:r>
              <w:rPr>
                <w:noProof/>
                <w:webHidden/>
              </w:rPr>
              <w:fldChar w:fldCharType="begin"/>
            </w:r>
            <w:r>
              <w:rPr>
                <w:noProof/>
                <w:webHidden/>
              </w:rPr>
              <w:instrText xml:space="preserve"> PAGEREF _Toc100230254 \h </w:instrText>
            </w:r>
            <w:r>
              <w:rPr>
                <w:noProof/>
                <w:webHidden/>
              </w:rPr>
            </w:r>
            <w:r>
              <w:rPr>
                <w:noProof/>
                <w:webHidden/>
              </w:rPr>
              <w:fldChar w:fldCharType="separate"/>
            </w:r>
            <w:r>
              <w:rPr>
                <w:noProof/>
                <w:webHidden/>
              </w:rPr>
              <w:t>6</w:t>
            </w:r>
            <w:r>
              <w:rPr>
                <w:noProof/>
                <w:webHidden/>
              </w:rPr>
              <w:fldChar w:fldCharType="end"/>
            </w:r>
          </w:hyperlink>
        </w:p>
        <w:p w14:paraId="55D88B51" w14:textId="4D1D157A" w:rsidR="003A01AA" w:rsidRDefault="003A01AA">
          <w:pPr>
            <w:pStyle w:val="SK2"/>
            <w:rPr>
              <w:rFonts w:eastAsiaTheme="minorEastAsia" w:cstheme="minorBidi"/>
              <w:caps w:val="0"/>
              <w:noProof/>
              <w:szCs w:val="22"/>
              <w:lang w:eastAsia="et-EE"/>
            </w:rPr>
          </w:pPr>
          <w:hyperlink w:anchor="_Toc100230255" w:history="1">
            <w:r w:rsidRPr="00A93187">
              <w:rPr>
                <w:rStyle w:val="Hperlink"/>
                <w:noProof/>
              </w:rPr>
              <w:t>1.2</w:t>
            </w:r>
            <w:r>
              <w:rPr>
                <w:rFonts w:eastAsiaTheme="minorEastAsia" w:cstheme="minorBidi"/>
                <w:caps w:val="0"/>
                <w:noProof/>
                <w:szCs w:val="22"/>
                <w:lang w:eastAsia="et-EE"/>
              </w:rPr>
              <w:tab/>
            </w:r>
            <w:r w:rsidRPr="00A93187">
              <w:rPr>
                <w:rStyle w:val="Hperlink"/>
                <w:noProof/>
              </w:rPr>
              <w:t>Makromajanduse väljavaated</w:t>
            </w:r>
            <w:r>
              <w:rPr>
                <w:noProof/>
                <w:webHidden/>
              </w:rPr>
              <w:tab/>
            </w:r>
            <w:r>
              <w:rPr>
                <w:noProof/>
                <w:webHidden/>
              </w:rPr>
              <w:fldChar w:fldCharType="begin"/>
            </w:r>
            <w:r>
              <w:rPr>
                <w:noProof/>
                <w:webHidden/>
              </w:rPr>
              <w:instrText xml:space="preserve"> PAGEREF _Toc100230255 \h </w:instrText>
            </w:r>
            <w:r>
              <w:rPr>
                <w:noProof/>
                <w:webHidden/>
              </w:rPr>
            </w:r>
            <w:r>
              <w:rPr>
                <w:noProof/>
                <w:webHidden/>
              </w:rPr>
              <w:fldChar w:fldCharType="separate"/>
            </w:r>
            <w:r>
              <w:rPr>
                <w:noProof/>
                <w:webHidden/>
              </w:rPr>
              <w:t>7</w:t>
            </w:r>
            <w:r>
              <w:rPr>
                <w:noProof/>
                <w:webHidden/>
              </w:rPr>
              <w:fldChar w:fldCharType="end"/>
            </w:r>
          </w:hyperlink>
        </w:p>
        <w:p w14:paraId="6F657991" w14:textId="6B6E170B" w:rsidR="003A01AA" w:rsidRDefault="003A01AA">
          <w:pPr>
            <w:pStyle w:val="SK1"/>
            <w:rPr>
              <w:rFonts w:eastAsiaTheme="minorEastAsia" w:cstheme="minorBidi"/>
              <w:b w:val="0"/>
              <w:bCs w:val="0"/>
              <w:caps w:val="0"/>
              <w:noProof/>
              <w:szCs w:val="22"/>
              <w:lang w:eastAsia="et-EE"/>
            </w:rPr>
          </w:pPr>
          <w:hyperlink w:anchor="_Toc100230256" w:history="1">
            <w:r w:rsidRPr="00A93187">
              <w:rPr>
                <w:rStyle w:val="Hperlink"/>
                <w:noProof/>
              </w:rPr>
              <w:t>2</w:t>
            </w:r>
            <w:r>
              <w:rPr>
                <w:rFonts w:eastAsiaTheme="minorEastAsia" w:cstheme="minorBidi"/>
                <w:b w:val="0"/>
                <w:bCs w:val="0"/>
                <w:caps w:val="0"/>
                <w:noProof/>
                <w:szCs w:val="22"/>
                <w:lang w:eastAsia="et-EE"/>
              </w:rPr>
              <w:tab/>
            </w:r>
            <w:r w:rsidRPr="00A93187">
              <w:rPr>
                <w:rStyle w:val="Hperlink"/>
                <w:noProof/>
              </w:rPr>
              <w:t>RAHANDUSPROGNOOS</w:t>
            </w:r>
            <w:r>
              <w:rPr>
                <w:noProof/>
                <w:webHidden/>
              </w:rPr>
              <w:tab/>
            </w:r>
            <w:r>
              <w:rPr>
                <w:noProof/>
                <w:webHidden/>
              </w:rPr>
              <w:fldChar w:fldCharType="begin"/>
            </w:r>
            <w:r>
              <w:rPr>
                <w:noProof/>
                <w:webHidden/>
              </w:rPr>
              <w:instrText xml:space="preserve"> PAGEREF _Toc100230256 \h </w:instrText>
            </w:r>
            <w:r>
              <w:rPr>
                <w:noProof/>
                <w:webHidden/>
              </w:rPr>
            </w:r>
            <w:r>
              <w:rPr>
                <w:noProof/>
                <w:webHidden/>
              </w:rPr>
              <w:fldChar w:fldCharType="separate"/>
            </w:r>
            <w:r>
              <w:rPr>
                <w:noProof/>
                <w:webHidden/>
              </w:rPr>
              <w:t>9</w:t>
            </w:r>
            <w:r>
              <w:rPr>
                <w:noProof/>
                <w:webHidden/>
              </w:rPr>
              <w:fldChar w:fldCharType="end"/>
            </w:r>
          </w:hyperlink>
        </w:p>
        <w:p w14:paraId="22F59308" w14:textId="603E62F9" w:rsidR="003A01AA" w:rsidRDefault="003A01AA">
          <w:pPr>
            <w:pStyle w:val="SK2"/>
            <w:rPr>
              <w:rFonts w:eastAsiaTheme="minorEastAsia" w:cstheme="minorBidi"/>
              <w:caps w:val="0"/>
              <w:noProof/>
              <w:szCs w:val="22"/>
              <w:lang w:eastAsia="et-EE"/>
            </w:rPr>
          </w:pPr>
          <w:hyperlink w:anchor="_Toc100230257" w:history="1">
            <w:r w:rsidRPr="00A93187">
              <w:rPr>
                <w:rStyle w:val="Hperlink"/>
                <w:noProof/>
              </w:rPr>
              <w:t>2.1</w:t>
            </w:r>
            <w:r>
              <w:rPr>
                <w:rFonts w:eastAsiaTheme="minorEastAsia" w:cstheme="minorBidi"/>
                <w:caps w:val="0"/>
                <w:noProof/>
                <w:szCs w:val="22"/>
                <w:lang w:eastAsia="et-EE"/>
              </w:rPr>
              <w:tab/>
            </w:r>
            <w:r w:rsidRPr="00A93187">
              <w:rPr>
                <w:rStyle w:val="Hperlink"/>
                <w:noProof/>
              </w:rPr>
              <w:t>VALITSUSSEKTORI EELARVEPOSITSIOON</w:t>
            </w:r>
            <w:r>
              <w:rPr>
                <w:noProof/>
                <w:webHidden/>
              </w:rPr>
              <w:tab/>
            </w:r>
            <w:r>
              <w:rPr>
                <w:noProof/>
                <w:webHidden/>
              </w:rPr>
              <w:fldChar w:fldCharType="begin"/>
            </w:r>
            <w:r>
              <w:rPr>
                <w:noProof/>
                <w:webHidden/>
              </w:rPr>
              <w:instrText xml:space="preserve"> PAGEREF _Toc100230257 \h </w:instrText>
            </w:r>
            <w:r>
              <w:rPr>
                <w:noProof/>
                <w:webHidden/>
              </w:rPr>
            </w:r>
            <w:r>
              <w:rPr>
                <w:noProof/>
                <w:webHidden/>
              </w:rPr>
              <w:fldChar w:fldCharType="separate"/>
            </w:r>
            <w:r>
              <w:rPr>
                <w:noProof/>
                <w:webHidden/>
              </w:rPr>
              <w:t>9</w:t>
            </w:r>
            <w:r>
              <w:rPr>
                <w:noProof/>
                <w:webHidden/>
              </w:rPr>
              <w:fldChar w:fldCharType="end"/>
            </w:r>
          </w:hyperlink>
        </w:p>
        <w:p w14:paraId="42166E5A" w14:textId="05853572" w:rsidR="003A01AA" w:rsidRDefault="003A01AA">
          <w:pPr>
            <w:pStyle w:val="SK2"/>
            <w:rPr>
              <w:rFonts w:eastAsiaTheme="minorEastAsia" w:cstheme="minorBidi"/>
              <w:caps w:val="0"/>
              <w:noProof/>
              <w:szCs w:val="22"/>
              <w:lang w:eastAsia="et-EE"/>
            </w:rPr>
          </w:pPr>
          <w:hyperlink w:anchor="_Toc100230258" w:history="1">
            <w:r w:rsidRPr="00A93187">
              <w:rPr>
                <w:rStyle w:val="Hperlink"/>
                <w:noProof/>
              </w:rPr>
              <w:t>2.2</w:t>
            </w:r>
            <w:r>
              <w:rPr>
                <w:rFonts w:eastAsiaTheme="minorEastAsia" w:cstheme="minorBidi"/>
                <w:caps w:val="0"/>
                <w:noProof/>
                <w:szCs w:val="22"/>
                <w:lang w:eastAsia="et-EE"/>
              </w:rPr>
              <w:tab/>
            </w:r>
            <w:r w:rsidRPr="00A93187">
              <w:rPr>
                <w:rStyle w:val="Hperlink"/>
                <w:noProof/>
              </w:rPr>
              <w:t>VALITSUSSEKTORI TULUDE PROGNOOS</w:t>
            </w:r>
            <w:r>
              <w:rPr>
                <w:noProof/>
                <w:webHidden/>
              </w:rPr>
              <w:tab/>
            </w:r>
            <w:r>
              <w:rPr>
                <w:noProof/>
                <w:webHidden/>
              </w:rPr>
              <w:fldChar w:fldCharType="begin"/>
            </w:r>
            <w:r>
              <w:rPr>
                <w:noProof/>
                <w:webHidden/>
              </w:rPr>
              <w:instrText xml:space="preserve"> PAGEREF _Toc100230258 \h </w:instrText>
            </w:r>
            <w:r>
              <w:rPr>
                <w:noProof/>
                <w:webHidden/>
              </w:rPr>
            </w:r>
            <w:r>
              <w:rPr>
                <w:noProof/>
                <w:webHidden/>
              </w:rPr>
              <w:fldChar w:fldCharType="separate"/>
            </w:r>
            <w:r>
              <w:rPr>
                <w:noProof/>
                <w:webHidden/>
              </w:rPr>
              <w:t>11</w:t>
            </w:r>
            <w:r>
              <w:rPr>
                <w:noProof/>
                <w:webHidden/>
              </w:rPr>
              <w:fldChar w:fldCharType="end"/>
            </w:r>
          </w:hyperlink>
        </w:p>
        <w:p w14:paraId="7194415E" w14:textId="699F8F81" w:rsidR="003A01AA" w:rsidRDefault="003A01AA">
          <w:pPr>
            <w:pStyle w:val="SK3"/>
            <w:rPr>
              <w:rFonts w:eastAsiaTheme="minorEastAsia" w:cstheme="minorBidi"/>
              <w:iCs w:val="0"/>
              <w:noProof/>
              <w:szCs w:val="22"/>
              <w:lang w:eastAsia="et-EE"/>
            </w:rPr>
          </w:pPr>
          <w:hyperlink w:anchor="_Toc100230259" w:history="1">
            <w:r w:rsidRPr="00A93187">
              <w:rPr>
                <w:rStyle w:val="Hperlink"/>
                <w:rFonts w:cs="Times New Roman"/>
                <w:noProof/>
              </w:rPr>
              <w:t>2.2.1</w:t>
            </w:r>
            <w:r>
              <w:rPr>
                <w:rFonts w:eastAsiaTheme="minorEastAsia" w:cstheme="minorBidi"/>
                <w:iCs w:val="0"/>
                <w:noProof/>
                <w:szCs w:val="22"/>
                <w:lang w:eastAsia="et-EE"/>
              </w:rPr>
              <w:tab/>
            </w:r>
            <w:r w:rsidRPr="00A93187">
              <w:rPr>
                <w:rStyle w:val="Hperlink"/>
                <w:rFonts w:cs="Times New Roman"/>
                <w:noProof/>
              </w:rPr>
              <w:t>Riigieelarve maksuliste tulude prognoos</w:t>
            </w:r>
            <w:r>
              <w:rPr>
                <w:noProof/>
                <w:webHidden/>
              </w:rPr>
              <w:tab/>
            </w:r>
            <w:r>
              <w:rPr>
                <w:noProof/>
                <w:webHidden/>
              </w:rPr>
              <w:fldChar w:fldCharType="begin"/>
            </w:r>
            <w:r>
              <w:rPr>
                <w:noProof/>
                <w:webHidden/>
              </w:rPr>
              <w:instrText xml:space="preserve"> PAGEREF _Toc100230259 \h </w:instrText>
            </w:r>
            <w:r>
              <w:rPr>
                <w:noProof/>
                <w:webHidden/>
              </w:rPr>
            </w:r>
            <w:r>
              <w:rPr>
                <w:noProof/>
                <w:webHidden/>
              </w:rPr>
              <w:fldChar w:fldCharType="separate"/>
            </w:r>
            <w:r>
              <w:rPr>
                <w:noProof/>
                <w:webHidden/>
              </w:rPr>
              <w:t>11</w:t>
            </w:r>
            <w:r>
              <w:rPr>
                <w:noProof/>
                <w:webHidden/>
              </w:rPr>
              <w:fldChar w:fldCharType="end"/>
            </w:r>
          </w:hyperlink>
        </w:p>
        <w:p w14:paraId="5F9CA8B6" w14:textId="6CA42BB1" w:rsidR="003A01AA" w:rsidRDefault="003A01AA">
          <w:pPr>
            <w:pStyle w:val="SK3"/>
            <w:rPr>
              <w:rFonts w:eastAsiaTheme="minorEastAsia" w:cstheme="minorBidi"/>
              <w:iCs w:val="0"/>
              <w:noProof/>
              <w:szCs w:val="22"/>
              <w:lang w:eastAsia="et-EE"/>
            </w:rPr>
          </w:pPr>
          <w:hyperlink w:anchor="_Toc100230260" w:history="1">
            <w:r w:rsidRPr="00A93187">
              <w:rPr>
                <w:rStyle w:val="Hperlink"/>
                <w:rFonts w:cs="Times New Roman"/>
                <w:noProof/>
              </w:rPr>
              <w:t>2.2.2</w:t>
            </w:r>
            <w:r>
              <w:rPr>
                <w:rFonts w:eastAsiaTheme="minorEastAsia" w:cstheme="minorBidi"/>
                <w:iCs w:val="0"/>
                <w:noProof/>
                <w:szCs w:val="22"/>
                <w:lang w:eastAsia="et-EE"/>
              </w:rPr>
              <w:tab/>
            </w:r>
            <w:r w:rsidRPr="00A93187">
              <w:rPr>
                <w:rStyle w:val="Hperlink"/>
                <w:rFonts w:cs="Times New Roman"/>
                <w:noProof/>
              </w:rPr>
              <w:t>Maksukoormus ja efektiivne maksumäär</w:t>
            </w:r>
            <w:r>
              <w:rPr>
                <w:noProof/>
                <w:webHidden/>
              </w:rPr>
              <w:tab/>
            </w:r>
            <w:r>
              <w:rPr>
                <w:noProof/>
                <w:webHidden/>
              </w:rPr>
              <w:fldChar w:fldCharType="begin"/>
            </w:r>
            <w:r>
              <w:rPr>
                <w:noProof/>
                <w:webHidden/>
              </w:rPr>
              <w:instrText xml:space="preserve"> PAGEREF _Toc100230260 \h </w:instrText>
            </w:r>
            <w:r>
              <w:rPr>
                <w:noProof/>
                <w:webHidden/>
              </w:rPr>
            </w:r>
            <w:r>
              <w:rPr>
                <w:noProof/>
                <w:webHidden/>
              </w:rPr>
              <w:fldChar w:fldCharType="separate"/>
            </w:r>
            <w:r>
              <w:rPr>
                <w:noProof/>
                <w:webHidden/>
              </w:rPr>
              <w:t>13</w:t>
            </w:r>
            <w:r>
              <w:rPr>
                <w:noProof/>
                <w:webHidden/>
              </w:rPr>
              <w:fldChar w:fldCharType="end"/>
            </w:r>
          </w:hyperlink>
        </w:p>
        <w:p w14:paraId="180127CF" w14:textId="60FB8CA0" w:rsidR="003A01AA" w:rsidRDefault="003A01AA">
          <w:pPr>
            <w:pStyle w:val="SK3"/>
            <w:rPr>
              <w:rFonts w:eastAsiaTheme="minorEastAsia" w:cstheme="minorBidi"/>
              <w:iCs w:val="0"/>
              <w:noProof/>
              <w:szCs w:val="22"/>
              <w:lang w:eastAsia="et-EE"/>
            </w:rPr>
          </w:pPr>
          <w:hyperlink w:anchor="_Toc100230261" w:history="1">
            <w:r w:rsidRPr="00A93187">
              <w:rPr>
                <w:rStyle w:val="Hperlink"/>
                <w:rFonts w:cs="Times New Roman"/>
                <w:noProof/>
              </w:rPr>
              <w:t>2.2.3</w:t>
            </w:r>
            <w:r>
              <w:rPr>
                <w:rFonts w:eastAsiaTheme="minorEastAsia" w:cstheme="minorBidi"/>
                <w:iCs w:val="0"/>
                <w:noProof/>
                <w:szCs w:val="22"/>
                <w:lang w:eastAsia="et-EE"/>
              </w:rPr>
              <w:tab/>
            </w:r>
            <w:r w:rsidRPr="00A93187">
              <w:rPr>
                <w:rStyle w:val="Hperlink"/>
                <w:rFonts w:cs="Times New Roman"/>
                <w:noProof/>
              </w:rPr>
              <w:t>Riigieelarve mittemaksuliste tulude prognoos</w:t>
            </w:r>
            <w:r>
              <w:rPr>
                <w:noProof/>
                <w:webHidden/>
              </w:rPr>
              <w:tab/>
            </w:r>
            <w:r>
              <w:rPr>
                <w:noProof/>
                <w:webHidden/>
              </w:rPr>
              <w:fldChar w:fldCharType="begin"/>
            </w:r>
            <w:r>
              <w:rPr>
                <w:noProof/>
                <w:webHidden/>
              </w:rPr>
              <w:instrText xml:space="preserve"> PAGEREF _Toc100230261 \h </w:instrText>
            </w:r>
            <w:r>
              <w:rPr>
                <w:noProof/>
                <w:webHidden/>
              </w:rPr>
            </w:r>
            <w:r>
              <w:rPr>
                <w:noProof/>
                <w:webHidden/>
              </w:rPr>
              <w:fldChar w:fldCharType="separate"/>
            </w:r>
            <w:r>
              <w:rPr>
                <w:noProof/>
                <w:webHidden/>
              </w:rPr>
              <w:t>14</w:t>
            </w:r>
            <w:r>
              <w:rPr>
                <w:noProof/>
                <w:webHidden/>
              </w:rPr>
              <w:fldChar w:fldCharType="end"/>
            </w:r>
          </w:hyperlink>
        </w:p>
        <w:p w14:paraId="7F60F3EE" w14:textId="2699E3AF" w:rsidR="003A01AA" w:rsidRDefault="003A01AA">
          <w:pPr>
            <w:pStyle w:val="SK2"/>
            <w:rPr>
              <w:rFonts w:eastAsiaTheme="minorEastAsia" w:cstheme="minorBidi"/>
              <w:caps w:val="0"/>
              <w:noProof/>
              <w:szCs w:val="22"/>
              <w:lang w:eastAsia="et-EE"/>
            </w:rPr>
          </w:pPr>
          <w:hyperlink w:anchor="_Toc100230262" w:history="1">
            <w:r w:rsidRPr="00A93187">
              <w:rPr>
                <w:rStyle w:val="Hperlink"/>
                <w:noProof/>
              </w:rPr>
              <w:t>2.3</w:t>
            </w:r>
            <w:r>
              <w:rPr>
                <w:rFonts w:eastAsiaTheme="minorEastAsia" w:cstheme="minorBidi"/>
                <w:caps w:val="0"/>
                <w:noProof/>
                <w:szCs w:val="22"/>
                <w:lang w:eastAsia="et-EE"/>
              </w:rPr>
              <w:tab/>
            </w:r>
            <w:r w:rsidRPr="00A93187">
              <w:rPr>
                <w:rStyle w:val="Hperlink"/>
                <w:noProof/>
              </w:rPr>
              <w:t>VALITSUSSEKTORI KULUDE PROGNOOS</w:t>
            </w:r>
            <w:r>
              <w:rPr>
                <w:noProof/>
                <w:webHidden/>
              </w:rPr>
              <w:tab/>
            </w:r>
            <w:r>
              <w:rPr>
                <w:noProof/>
                <w:webHidden/>
              </w:rPr>
              <w:fldChar w:fldCharType="begin"/>
            </w:r>
            <w:r>
              <w:rPr>
                <w:noProof/>
                <w:webHidden/>
              </w:rPr>
              <w:instrText xml:space="preserve"> PAGEREF _Toc100230262 \h </w:instrText>
            </w:r>
            <w:r>
              <w:rPr>
                <w:noProof/>
                <w:webHidden/>
              </w:rPr>
            </w:r>
            <w:r>
              <w:rPr>
                <w:noProof/>
                <w:webHidden/>
              </w:rPr>
              <w:fldChar w:fldCharType="separate"/>
            </w:r>
            <w:r>
              <w:rPr>
                <w:noProof/>
                <w:webHidden/>
              </w:rPr>
              <w:t>15</w:t>
            </w:r>
            <w:r>
              <w:rPr>
                <w:noProof/>
                <w:webHidden/>
              </w:rPr>
              <w:fldChar w:fldCharType="end"/>
            </w:r>
          </w:hyperlink>
        </w:p>
        <w:p w14:paraId="457AF975" w14:textId="6F99BA6D" w:rsidR="003A01AA" w:rsidRDefault="003A01AA">
          <w:pPr>
            <w:pStyle w:val="SK2"/>
            <w:rPr>
              <w:rFonts w:eastAsiaTheme="minorEastAsia" w:cstheme="minorBidi"/>
              <w:caps w:val="0"/>
              <w:noProof/>
              <w:szCs w:val="22"/>
              <w:lang w:eastAsia="et-EE"/>
            </w:rPr>
          </w:pPr>
          <w:hyperlink w:anchor="_Toc100230263" w:history="1">
            <w:r w:rsidRPr="00A93187">
              <w:rPr>
                <w:rStyle w:val="Hperlink"/>
                <w:noProof/>
              </w:rPr>
              <w:t>2.4</w:t>
            </w:r>
            <w:r>
              <w:rPr>
                <w:rFonts w:eastAsiaTheme="minorEastAsia" w:cstheme="minorBidi"/>
                <w:caps w:val="0"/>
                <w:noProof/>
                <w:szCs w:val="22"/>
                <w:lang w:eastAsia="et-EE"/>
              </w:rPr>
              <w:tab/>
            </w:r>
            <w:r w:rsidRPr="00A93187">
              <w:rPr>
                <w:rStyle w:val="Hperlink"/>
                <w:noProof/>
              </w:rPr>
              <w:t>VALITSUSSEKTORI FINANTSEERIMINE</w:t>
            </w:r>
            <w:r>
              <w:rPr>
                <w:noProof/>
                <w:webHidden/>
              </w:rPr>
              <w:tab/>
            </w:r>
            <w:r>
              <w:rPr>
                <w:noProof/>
                <w:webHidden/>
              </w:rPr>
              <w:fldChar w:fldCharType="begin"/>
            </w:r>
            <w:r>
              <w:rPr>
                <w:noProof/>
                <w:webHidden/>
              </w:rPr>
              <w:instrText xml:space="preserve"> PAGEREF _Toc100230263 \h </w:instrText>
            </w:r>
            <w:r>
              <w:rPr>
                <w:noProof/>
                <w:webHidden/>
              </w:rPr>
            </w:r>
            <w:r>
              <w:rPr>
                <w:noProof/>
                <w:webHidden/>
              </w:rPr>
              <w:fldChar w:fldCharType="separate"/>
            </w:r>
            <w:r>
              <w:rPr>
                <w:noProof/>
                <w:webHidden/>
              </w:rPr>
              <w:t>18</w:t>
            </w:r>
            <w:r>
              <w:rPr>
                <w:noProof/>
                <w:webHidden/>
              </w:rPr>
              <w:fldChar w:fldCharType="end"/>
            </w:r>
          </w:hyperlink>
        </w:p>
        <w:p w14:paraId="19C0CB0F" w14:textId="1DEFE360" w:rsidR="003A01AA" w:rsidRDefault="003A01AA">
          <w:pPr>
            <w:pStyle w:val="SK1"/>
            <w:rPr>
              <w:rFonts w:eastAsiaTheme="minorEastAsia" w:cstheme="minorBidi"/>
              <w:b w:val="0"/>
              <w:bCs w:val="0"/>
              <w:caps w:val="0"/>
              <w:noProof/>
              <w:szCs w:val="22"/>
              <w:lang w:eastAsia="et-EE"/>
            </w:rPr>
          </w:pPr>
          <w:hyperlink w:anchor="_Toc100230264" w:history="1">
            <w:r w:rsidRPr="00A93187">
              <w:rPr>
                <w:rStyle w:val="Hperlink"/>
                <w:noProof/>
              </w:rPr>
              <w:t>3</w:t>
            </w:r>
            <w:r>
              <w:rPr>
                <w:rFonts w:eastAsiaTheme="minorEastAsia" w:cstheme="minorBidi"/>
                <w:b w:val="0"/>
                <w:bCs w:val="0"/>
                <w:caps w:val="0"/>
                <w:noProof/>
                <w:szCs w:val="22"/>
                <w:lang w:eastAsia="et-EE"/>
              </w:rPr>
              <w:tab/>
            </w:r>
            <w:r w:rsidRPr="00A93187">
              <w:rPr>
                <w:rStyle w:val="Hperlink"/>
                <w:noProof/>
              </w:rPr>
              <w:t>RISKISTSENAARIUM</w:t>
            </w:r>
            <w:r>
              <w:rPr>
                <w:noProof/>
                <w:webHidden/>
              </w:rPr>
              <w:tab/>
            </w:r>
            <w:r>
              <w:rPr>
                <w:noProof/>
                <w:webHidden/>
              </w:rPr>
              <w:fldChar w:fldCharType="begin"/>
            </w:r>
            <w:r>
              <w:rPr>
                <w:noProof/>
                <w:webHidden/>
              </w:rPr>
              <w:instrText xml:space="preserve"> PAGEREF _Toc100230264 \h </w:instrText>
            </w:r>
            <w:r>
              <w:rPr>
                <w:noProof/>
                <w:webHidden/>
              </w:rPr>
            </w:r>
            <w:r>
              <w:rPr>
                <w:noProof/>
                <w:webHidden/>
              </w:rPr>
              <w:fldChar w:fldCharType="separate"/>
            </w:r>
            <w:r>
              <w:rPr>
                <w:noProof/>
                <w:webHidden/>
              </w:rPr>
              <w:t>20</w:t>
            </w:r>
            <w:r>
              <w:rPr>
                <w:noProof/>
                <w:webHidden/>
              </w:rPr>
              <w:fldChar w:fldCharType="end"/>
            </w:r>
          </w:hyperlink>
        </w:p>
        <w:p w14:paraId="143AB1DA" w14:textId="3280F92D" w:rsidR="003A01AA" w:rsidRDefault="003A01AA">
          <w:pPr>
            <w:pStyle w:val="SK1"/>
            <w:rPr>
              <w:rFonts w:eastAsiaTheme="minorEastAsia" w:cstheme="minorBidi"/>
              <w:b w:val="0"/>
              <w:bCs w:val="0"/>
              <w:caps w:val="0"/>
              <w:noProof/>
              <w:szCs w:val="22"/>
              <w:lang w:eastAsia="et-EE"/>
            </w:rPr>
          </w:pPr>
          <w:hyperlink w:anchor="_Toc100230265" w:history="1">
            <w:r w:rsidRPr="00A93187">
              <w:rPr>
                <w:rStyle w:val="Hperlink"/>
                <w:noProof/>
              </w:rPr>
              <w:t>Lisa 1. Kõrgete energiahindade mõju majandusele</w:t>
            </w:r>
            <w:r>
              <w:rPr>
                <w:noProof/>
                <w:webHidden/>
              </w:rPr>
              <w:tab/>
            </w:r>
            <w:r>
              <w:rPr>
                <w:noProof/>
                <w:webHidden/>
              </w:rPr>
              <w:fldChar w:fldCharType="begin"/>
            </w:r>
            <w:r>
              <w:rPr>
                <w:noProof/>
                <w:webHidden/>
              </w:rPr>
              <w:instrText xml:space="preserve"> PAGEREF _Toc100230265 \h </w:instrText>
            </w:r>
            <w:r>
              <w:rPr>
                <w:noProof/>
                <w:webHidden/>
              </w:rPr>
            </w:r>
            <w:r>
              <w:rPr>
                <w:noProof/>
                <w:webHidden/>
              </w:rPr>
              <w:fldChar w:fldCharType="separate"/>
            </w:r>
            <w:r>
              <w:rPr>
                <w:noProof/>
                <w:webHidden/>
              </w:rPr>
              <w:t>22</w:t>
            </w:r>
            <w:r>
              <w:rPr>
                <w:noProof/>
                <w:webHidden/>
              </w:rPr>
              <w:fldChar w:fldCharType="end"/>
            </w:r>
          </w:hyperlink>
        </w:p>
        <w:p w14:paraId="2AC5C2E7" w14:textId="383CB480" w:rsidR="003A01AA" w:rsidRDefault="003A01AA">
          <w:pPr>
            <w:pStyle w:val="SK1"/>
            <w:rPr>
              <w:rFonts w:eastAsiaTheme="minorEastAsia" w:cstheme="minorBidi"/>
              <w:b w:val="0"/>
              <w:bCs w:val="0"/>
              <w:caps w:val="0"/>
              <w:noProof/>
              <w:szCs w:val="22"/>
              <w:lang w:eastAsia="et-EE"/>
            </w:rPr>
          </w:pPr>
          <w:hyperlink w:anchor="_Toc100230266" w:history="1">
            <w:r w:rsidRPr="00A93187">
              <w:rPr>
                <w:rStyle w:val="Hperlink"/>
                <w:noProof/>
              </w:rPr>
              <w:t>Lisa 2. Venemaa-Ukraina sõja mõju majandusele</w:t>
            </w:r>
            <w:r>
              <w:rPr>
                <w:noProof/>
                <w:webHidden/>
              </w:rPr>
              <w:tab/>
            </w:r>
            <w:r>
              <w:rPr>
                <w:noProof/>
                <w:webHidden/>
              </w:rPr>
              <w:fldChar w:fldCharType="begin"/>
            </w:r>
            <w:r>
              <w:rPr>
                <w:noProof/>
                <w:webHidden/>
              </w:rPr>
              <w:instrText xml:space="preserve"> PAGEREF _Toc100230266 \h </w:instrText>
            </w:r>
            <w:r>
              <w:rPr>
                <w:noProof/>
                <w:webHidden/>
              </w:rPr>
            </w:r>
            <w:r>
              <w:rPr>
                <w:noProof/>
                <w:webHidden/>
              </w:rPr>
              <w:fldChar w:fldCharType="separate"/>
            </w:r>
            <w:r>
              <w:rPr>
                <w:noProof/>
                <w:webHidden/>
              </w:rPr>
              <w:t>23</w:t>
            </w:r>
            <w:r>
              <w:rPr>
                <w:noProof/>
                <w:webHidden/>
              </w:rPr>
              <w:fldChar w:fldCharType="end"/>
            </w:r>
          </w:hyperlink>
        </w:p>
        <w:p w14:paraId="7FD2CF10" w14:textId="39D3AA9B" w:rsidR="003A01AA" w:rsidRDefault="003A01AA">
          <w:pPr>
            <w:pStyle w:val="SK1"/>
            <w:rPr>
              <w:rFonts w:eastAsiaTheme="minorEastAsia" w:cstheme="minorBidi"/>
              <w:b w:val="0"/>
              <w:bCs w:val="0"/>
              <w:caps w:val="0"/>
              <w:noProof/>
              <w:szCs w:val="22"/>
              <w:lang w:eastAsia="et-EE"/>
            </w:rPr>
          </w:pPr>
          <w:hyperlink w:anchor="_Toc100230267" w:history="1">
            <w:r w:rsidRPr="00A93187">
              <w:rPr>
                <w:rStyle w:val="Hperlink"/>
                <w:noProof/>
              </w:rPr>
              <w:t>Lisa 3. Sõjapõgenike mõju Eesti tööturule ja valitsussektori kuludele</w:t>
            </w:r>
            <w:r>
              <w:rPr>
                <w:noProof/>
                <w:webHidden/>
              </w:rPr>
              <w:tab/>
            </w:r>
            <w:r>
              <w:rPr>
                <w:noProof/>
                <w:webHidden/>
              </w:rPr>
              <w:fldChar w:fldCharType="begin"/>
            </w:r>
            <w:r>
              <w:rPr>
                <w:noProof/>
                <w:webHidden/>
              </w:rPr>
              <w:instrText xml:space="preserve"> PAGEREF _Toc100230267 \h </w:instrText>
            </w:r>
            <w:r>
              <w:rPr>
                <w:noProof/>
                <w:webHidden/>
              </w:rPr>
            </w:r>
            <w:r>
              <w:rPr>
                <w:noProof/>
                <w:webHidden/>
              </w:rPr>
              <w:fldChar w:fldCharType="separate"/>
            </w:r>
            <w:r>
              <w:rPr>
                <w:noProof/>
                <w:webHidden/>
              </w:rPr>
              <w:t>25</w:t>
            </w:r>
            <w:r>
              <w:rPr>
                <w:noProof/>
                <w:webHidden/>
              </w:rPr>
              <w:fldChar w:fldCharType="end"/>
            </w:r>
          </w:hyperlink>
        </w:p>
        <w:p w14:paraId="555E8D06" w14:textId="2993F317" w:rsidR="003A01AA" w:rsidRDefault="003A01AA">
          <w:pPr>
            <w:pStyle w:val="SK1"/>
            <w:rPr>
              <w:rFonts w:eastAsiaTheme="minorEastAsia" w:cstheme="minorBidi"/>
              <w:b w:val="0"/>
              <w:bCs w:val="0"/>
              <w:caps w:val="0"/>
              <w:noProof/>
              <w:szCs w:val="22"/>
              <w:lang w:eastAsia="et-EE"/>
            </w:rPr>
          </w:pPr>
          <w:hyperlink w:anchor="_Toc100230268" w:history="1">
            <w:r w:rsidRPr="00A93187">
              <w:rPr>
                <w:rStyle w:val="Hperlink"/>
                <w:noProof/>
              </w:rPr>
              <w:t>LISA 4. TÄIENDAVAD TABELID</w:t>
            </w:r>
            <w:r>
              <w:rPr>
                <w:noProof/>
                <w:webHidden/>
              </w:rPr>
              <w:tab/>
            </w:r>
            <w:r>
              <w:rPr>
                <w:noProof/>
                <w:webHidden/>
              </w:rPr>
              <w:fldChar w:fldCharType="begin"/>
            </w:r>
            <w:r>
              <w:rPr>
                <w:noProof/>
                <w:webHidden/>
              </w:rPr>
              <w:instrText xml:space="preserve"> PAGEREF _Toc100230268 \h </w:instrText>
            </w:r>
            <w:r>
              <w:rPr>
                <w:noProof/>
                <w:webHidden/>
              </w:rPr>
            </w:r>
            <w:r>
              <w:rPr>
                <w:noProof/>
                <w:webHidden/>
              </w:rPr>
              <w:fldChar w:fldCharType="separate"/>
            </w:r>
            <w:r>
              <w:rPr>
                <w:noProof/>
                <w:webHidden/>
              </w:rPr>
              <w:t>27</w:t>
            </w:r>
            <w:r>
              <w:rPr>
                <w:noProof/>
                <w:webHidden/>
              </w:rPr>
              <w:fldChar w:fldCharType="end"/>
            </w:r>
          </w:hyperlink>
        </w:p>
        <w:p w14:paraId="275514E5" w14:textId="4F50E4CE" w:rsidR="003A01AA" w:rsidRDefault="003A01AA">
          <w:pPr>
            <w:pStyle w:val="SK1"/>
            <w:rPr>
              <w:rFonts w:eastAsiaTheme="minorEastAsia" w:cstheme="minorBidi"/>
              <w:b w:val="0"/>
              <w:bCs w:val="0"/>
              <w:caps w:val="0"/>
              <w:noProof/>
              <w:szCs w:val="22"/>
              <w:lang w:eastAsia="et-EE"/>
            </w:rPr>
          </w:pPr>
          <w:hyperlink w:anchor="_Toc100230269" w:history="1">
            <w:r w:rsidRPr="00A93187">
              <w:rPr>
                <w:rStyle w:val="Hperlink"/>
                <w:noProof/>
              </w:rPr>
              <w:t>MÄRKUSED</w:t>
            </w:r>
            <w:r>
              <w:rPr>
                <w:noProof/>
                <w:webHidden/>
              </w:rPr>
              <w:tab/>
            </w:r>
            <w:r>
              <w:rPr>
                <w:noProof/>
                <w:webHidden/>
              </w:rPr>
              <w:fldChar w:fldCharType="begin"/>
            </w:r>
            <w:r>
              <w:rPr>
                <w:noProof/>
                <w:webHidden/>
              </w:rPr>
              <w:instrText xml:space="preserve"> PAGEREF _Toc100230269 \h </w:instrText>
            </w:r>
            <w:r>
              <w:rPr>
                <w:noProof/>
                <w:webHidden/>
              </w:rPr>
            </w:r>
            <w:r>
              <w:rPr>
                <w:noProof/>
                <w:webHidden/>
              </w:rPr>
              <w:fldChar w:fldCharType="separate"/>
            </w:r>
            <w:r>
              <w:rPr>
                <w:noProof/>
                <w:webHidden/>
              </w:rPr>
              <w:t>37</w:t>
            </w:r>
            <w:r>
              <w:rPr>
                <w:noProof/>
                <w:webHidden/>
              </w:rPr>
              <w:fldChar w:fldCharType="end"/>
            </w:r>
          </w:hyperlink>
        </w:p>
        <w:p w14:paraId="05392BF9" w14:textId="060F5662" w:rsidR="00CD7FAE" w:rsidRPr="005822EA" w:rsidRDefault="00CD7FAE" w:rsidP="00E66452">
          <w:pPr>
            <w:jc w:val="both"/>
          </w:pPr>
          <w:r w:rsidRPr="005822EA">
            <w:rPr>
              <w:b/>
              <w:bCs/>
            </w:rPr>
            <w:fldChar w:fldCharType="end"/>
          </w:r>
        </w:p>
      </w:sdtContent>
    </w:sdt>
    <w:p w14:paraId="1B09FA16" w14:textId="3B0820FB" w:rsidR="00CF1260" w:rsidRDefault="00CF1260" w:rsidP="00CF1260">
      <w:pPr>
        <w:pStyle w:val="Phitekst"/>
      </w:pPr>
      <w:bookmarkStart w:id="9" w:name="_Toc64844918"/>
      <w:bookmarkStart w:id="10" w:name="_Toc64847870"/>
      <w:bookmarkStart w:id="11" w:name="_Toc64848903"/>
    </w:p>
    <w:p w14:paraId="7A05BCB0" w14:textId="77777777" w:rsidR="00C828EE" w:rsidRDefault="00C828EE" w:rsidP="00CF1260">
      <w:pPr>
        <w:pStyle w:val="Phitekst"/>
        <w:sectPr w:rsidR="00C828EE" w:rsidSect="00522497">
          <w:endnotePr>
            <w:numFmt w:val="decimal"/>
          </w:endnotePr>
          <w:pgSz w:w="11906" w:h="16838"/>
          <w:pgMar w:top="964" w:right="964" w:bottom="964" w:left="964" w:header="709" w:footer="709" w:gutter="0"/>
          <w:cols w:space="708"/>
          <w:docGrid w:linePitch="360"/>
        </w:sectPr>
      </w:pPr>
    </w:p>
    <w:p w14:paraId="2FA6854A" w14:textId="6872E6B7" w:rsidR="00BF294D" w:rsidRPr="005822EA" w:rsidRDefault="00BF294D" w:rsidP="00E66452">
      <w:pPr>
        <w:pStyle w:val="Numbritapealkiri"/>
        <w:jc w:val="both"/>
      </w:pPr>
      <w:bookmarkStart w:id="12" w:name="_Toc100230250"/>
      <w:r w:rsidRPr="005822EA">
        <w:lastRenderedPageBreak/>
        <w:t>JOONISED</w:t>
      </w:r>
      <w:bookmarkEnd w:id="9"/>
      <w:bookmarkEnd w:id="10"/>
      <w:bookmarkEnd w:id="11"/>
      <w:bookmarkEnd w:id="12"/>
    </w:p>
    <w:p w14:paraId="7F9354FC" w14:textId="7EAB7D21" w:rsidR="003A01AA" w:rsidRDefault="00177B6A">
      <w:pPr>
        <w:pStyle w:val="Illustratsiooniloend"/>
        <w:rPr>
          <w:rFonts w:eastAsiaTheme="minorEastAsia"/>
          <w:noProof/>
          <w:lang w:eastAsia="et-EE"/>
        </w:rPr>
      </w:pPr>
      <w:r w:rsidRPr="005822EA">
        <w:fldChar w:fldCharType="begin"/>
      </w:r>
      <w:r w:rsidR="00886BEE" w:rsidRPr="005822EA">
        <w:instrText xml:space="preserve"> TOC \h \z \c "Joonis" </w:instrText>
      </w:r>
      <w:r w:rsidRPr="005822EA">
        <w:fldChar w:fldCharType="separate"/>
      </w:r>
      <w:hyperlink w:anchor="_Toc100230270" w:history="1">
        <w:r w:rsidR="003A01AA" w:rsidRPr="00DA3A77">
          <w:rPr>
            <w:rStyle w:val="Hperlink"/>
            <w:noProof/>
          </w:rPr>
          <w:t>Joonis 1. Nominaalne eelarvepositsioon (%SKP)</w:t>
        </w:r>
        <w:r w:rsidR="003A01AA">
          <w:rPr>
            <w:noProof/>
            <w:webHidden/>
          </w:rPr>
          <w:tab/>
        </w:r>
        <w:r w:rsidR="003A01AA">
          <w:rPr>
            <w:noProof/>
            <w:webHidden/>
          </w:rPr>
          <w:fldChar w:fldCharType="begin"/>
        </w:r>
        <w:r w:rsidR="003A01AA">
          <w:rPr>
            <w:noProof/>
            <w:webHidden/>
          </w:rPr>
          <w:instrText xml:space="preserve"> PAGEREF _Toc100230270 \h </w:instrText>
        </w:r>
        <w:r w:rsidR="003A01AA">
          <w:rPr>
            <w:noProof/>
            <w:webHidden/>
          </w:rPr>
        </w:r>
        <w:r w:rsidR="003A01AA">
          <w:rPr>
            <w:noProof/>
            <w:webHidden/>
          </w:rPr>
          <w:fldChar w:fldCharType="separate"/>
        </w:r>
        <w:r w:rsidR="003A01AA">
          <w:rPr>
            <w:noProof/>
            <w:webHidden/>
          </w:rPr>
          <w:t>10</w:t>
        </w:r>
        <w:r w:rsidR="003A01AA">
          <w:rPr>
            <w:noProof/>
            <w:webHidden/>
          </w:rPr>
          <w:fldChar w:fldCharType="end"/>
        </w:r>
      </w:hyperlink>
    </w:p>
    <w:p w14:paraId="523033D1" w14:textId="3DE7140C" w:rsidR="003A01AA" w:rsidRDefault="003A01AA">
      <w:pPr>
        <w:pStyle w:val="Illustratsiooniloend"/>
        <w:rPr>
          <w:rFonts w:eastAsiaTheme="minorEastAsia"/>
          <w:noProof/>
          <w:lang w:eastAsia="et-EE"/>
        </w:rPr>
      </w:pPr>
      <w:hyperlink w:anchor="_Toc100230271" w:history="1">
        <w:r w:rsidRPr="00DA3A77">
          <w:rPr>
            <w:rStyle w:val="Hperlink"/>
            <w:noProof/>
          </w:rPr>
          <w:t>Joonis 2. Erasektori dividendid pankadeta (mln eurot, %)</w:t>
        </w:r>
        <w:r>
          <w:rPr>
            <w:noProof/>
            <w:webHidden/>
          </w:rPr>
          <w:tab/>
        </w:r>
        <w:r>
          <w:rPr>
            <w:noProof/>
            <w:webHidden/>
          </w:rPr>
          <w:fldChar w:fldCharType="begin"/>
        </w:r>
        <w:r>
          <w:rPr>
            <w:noProof/>
            <w:webHidden/>
          </w:rPr>
          <w:instrText xml:space="preserve"> PAGEREF _Toc100230271 \h </w:instrText>
        </w:r>
        <w:r>
          <w:rPr>
            <w:noProof/>
            <w:webHidden/>
          </w:rPr>
        </w:r>
        <w:r>
          <w:rPr>
            <w:noProof/>
            <w:webHidden/>
          </w:rPr>
          <w:fldChar w:fldCharType="separate"/>
        </w:r>
        <w:r>
          <w:rPr>
            <w:noProof/>
            <w:webHidden/>
          </w:rPr>
          <w:t>12</w:t>
        </w:r>
        <w:r>
          <w:rPr>
            <w:noProof/>
            <w:webHidden/>
          </w:rPr>
          <w:fldChar w:fldCharType="end"/>
        </w:r>
      </w:hyperlink>
    </w:p>
    <w:p w14:paraId="1E40C4E6" w14:textId="4895140B" w:rsidR="003A01AA" w:rsidRDefault="003A01AA">
      <w:pPr>
        <w:pStyle w:val="Illustratsiooniloend"/>
        <w:rPr>
          <w:rFonts w:eastAsiaTheme="minorEastAsia"/>
          <w:noProof/>
          <w:lang w:eastAsia="et-EE"/>
        </w:rPr>
      </w:pPr>
      <w:hyperlink w:anchor="_Toc100230272" w:history="1">
        <w:r w:rsidRPr="00DA3A77">
          <w:rPr>
            <w:rStyle w:val="Hperlink"/>
            <w:noProof/>
          </w:rPr>
          <w:t>Joonis 3. Maksukoormus koos ja ilma teisest pensionisambast lahkujate tulumaksuta (%)</w:t>
        </w:r>
        <w:r>
          <w:rPr>
            <w:noProof/>
            <w:webHidden/>
          </w:rPr>
          <w:tab/>
        </w:r>
        <w:r>
          <w:rPr>
            <w:noProof/>
            <w:webHidden/>
          </w:rPr>
          <w:fldChar w:fldCharType="begin"/>
        </w:r>
        <w:r>
          <w:rPr>
            <w:noProof/>
            <w:webHidden/>
          </w:rPr>
          <w:instrText xml:space="preserve"> PAGEREF _Toc100230272 \h </w:instrText>
        </w:r>
        <w:r>
          <w:rPr>
            <w:noProof/>
            <w:webHidden/>
          </w:rPr>
        </w:r>
        <w:r>
          <w:rPr>
            <w:noProof/>
            <w:webHidden/>
          </w:rPr>
          <w:fldChar w:fldCharType="separate"/>
        </w:r>
        <w:r>
          <w:rPr>
            <w:noProof/>
            <w:webHidden/>
          </w:rPr>
          <w:t>13</w:t>
        </w:r>
        <w:r>
          <w:rPr>
            <w:noProof/>
            <w:webHidden/>
          </w:rPr>
          <w:fldChar w:fldCharType="end"/>
        </w:r>
      </w:hyperlink>
    </w:p>
    <w:p w14:paraId="35CE7B94" w14:textId="557D6668" w:rsidR="003A01AA" w:rsidRDefault="003A01AA">
      <w:pPr>
        <w:pStyle w:val="Illustratsiooniloend"/>
        <w:rPr>
          <w:rFonts w:eastAsiaTheme="minorEastAsia"/>
          <w:noProof/>
          <w:lang w:eastAsia="et-EE"/>
        </w:rPr>
      </w:pPr>
      <w:hyperlink w:anchor="_Toc100230273" w:history="1">
        <w:r w:rsidRPr="00DA3A77">
          <w:rPr>
            <w:rStyle w:val="Hperlink"/>
            <w:rFonts w:cstheme="minorHAnsi"/>
            <w:noProof/>
          </w:rPr>
          <w:t>Joonis 4. Tööjõu efektiivne maksumäär (% maksubaasist)</w:t>
        </w:r>
        <w:r>
          <w:rPr>
            <w:noProof/>
            <w:webHidden/>
          </w:rPr>
          <w:tab/>
        </w:r>
        <w:r>
          <w:rPr>
            <w:noProof/>
            <w:webHidden/>
          </w:rPr>
          <w:fldChar w:fldCharType="begin"/>
        </w:r>
        <w:r>
          <w:rPr>
            <w:noProof/>
            <w:webHidden/>
          </w:rPr>
          <w:instrText xml:space="preserve"> PAGEREF _Toc100230273 \h </w:instrText>
        </w:r>
        <w:r>
          <w:rPr>
            <w:noProof/>
            <w:webHidden/>
          </w:rPr>
        </w:r>
        <w:r>
          <w:rPr>
            <w:noProof/>
            <w:webHidden/>
          </w:rPr>
          <w:fldChar w:fldCharType="separate"/>
        </w:r>
        <w:r>
          <w:rPr>
            <w:noProof/>
            <w:webHidden/>
          </w:rPr>
          <w:t>14</w:t>
        </w:r>
        <w:r>
          <w:rPr>
            <w:noProof/>
            <w:webHidden/>
          </w:rPr>
          <w:fldChar w:fldCharType="end"/>
        </w:r>
      </w:hyperlink>
    </w:p>
    <w:p w14:paraId="4D67B64E" w14:textId="53220BD8" w:rsidR="003A01AA" w:rsidRDefault="003A01AA">
      <w:pPr>
        <w:pStyle w:val="Illustratsiooniloend"/>
        <w:rPr>
          <w:rFonts w:eastAsiaTheme="minorEastAsia"/>
          <w:noProof/>
          <w:lang w:eastAsia="et-EE"/>
        </w:rPr>
      </w:pPr>
      <w:hyperlink w:anchor="_Toc100230274" w:history="1">
        <w:r w:rsidRPr="00DA3A77">
          <w:rPr>
            <w:rStyle w:val="Hperlink"/>
            <w:noProof/>
          </w:rPr>
          <w:t>Joonis 5. Valitsussektori kogukulud (% SKPs) ja kulude aastane muutus</w:t>
        </w:r>
        <w:r>
          <w:rPr>
            <w:noProof/>
            <w:webHidden/>
          </w:rPr>
          <w:tab/>
        </w:r>
        <w:r>
          <w:rPr>
            <w:noProof/>
            <w:webHidden/>
          </w:rPr>
          <w:fldChar w:fldCharType="begin"/>
        </w:r>
        <w:r>
          <w:rPr>
            <w:noProof/>
            <w:webHidden/>
          </w:rPr>
          <w:instrText xml:space="preserve"> PAGEREF _Toc100230274 \h </w:instrText>
        </w:r>
        <w:r>
          <w:rPr>
            <w:noProof/>
            <w:webHidden/>
          </w:rPr>
        </w:r>
        <w:r>
          <w:rPr>
            <w:noProof/>
            <w:webHidden/>
          </w:rPr>
          <w:fldChar w:fldCharType="separate"/>
        </w:r>
        <w:r>
          <w:rPr>
            <w:noProof/>
            <w:webHidden/>
          </w:rPr>
          <w:t>15</w:t>
        </w:r>
        <w:r>
          <w:rPr>
            <w:noProof/>
            <w:webHidden/>
          </w:rPr>
          <w:fldChar w:fldCharType="end"/>
        </w:r>
      </w:hyperlink>
    </w:p>
    <w:p w14:paraId="1EC9AA80" w14:textId="3916B598" w:rsidR="003A01AA" w:rsidRDefault="003A01AA">
      <w:pPr>
        <w:pStyle w:val="Illustratsiooniloend"/>
        <w:rPr>
          <w:rFonts w:eastAsiaTheme="minorEastAsia"/>
          <w:noProof/>
          <w:lang w:eastAsia="et-EE"/>
        </w:rPr>
      </w:pPr>
      <w:hyperlink w:anchor="_Toc100230275" w:history="1">
        <w:r w:rsidRPr="00DA3A77">
          <w:rPr>
            <w:rStyle w:val="Hperlink"/>
            <w:noProof/>
          </w:rPr>
          <w:t>Joonis 6. Valitsussektori põhivarainvesteeringud 2001-2026 (%SKPs)</w:t>
        </w:r>
        <w:r>
          <w:rPr>
            <w:noProof/>
            <w:webHidden/>
          </w:rPr>
          <w:tab/>
        </w:r>
        <w:r>
          <w:rPr>
            <w:noProof/>
            <w:webHidden/>
          </w:rPr>
          <w:fldChar w:fldCharType="begin"/>
        </w:r>
        <w:r>
          <w:rPr>
            <w:noProof/>
            <w:webHidden/>
          </w:rPr>
          <w:instrText xml:space="preserve"> PAGEREF _Toc100230275 \h </w:instrText>
        </w:r>
        <w:r>
          <w:rPr>
            <w:noProof/>
            <w:webHidden/>
          </w:rPr>
        </w:r>
        <w:r>
          <w:rPr>
            <w:noProof/>
            <w:webHidden/>
          </w:rPr>
          <w:fldChar w:fldCharType="separate"/>
        </w:r>
        <w:r>
          <w:rPr>
            <w:noProof/>
            <w:webHidden/>
          </w:rPr>
          <w:t>16</w:t>
        </w:r>
        <w:r>
          <w:rPr>
            <w:noProof/>
            <w:webHidden/>
          </w:rPr>
          <w:fldChar w:fldCharType="end"/>
        </w:r>
      </w:hyperlink>
    </w:p>
    <w:p w14:paraId="399EB403" w14:textId="5F99A9C2" w:rsidR="003A01AA" w:rsidRDefault="003A01AA">
      <w:pPr>
        <w:pStyle w:val="Illustratsiooniloend"/>
        <w:rPr>
          <w:rFonts w:eastAsiaTheme="minorEastAsia"/>
          <w:noProof/>
          <w:lang w:eastAsia="et-EE"/>
        </w:rPr>
      </w:pPr>
      <w:hyperlink w:anchor="_Toc100230276" w:history="1">
        <w:r w:rsidRPr="00DA3A77">
          <w:rPr>
            <w:rStyle w:val="Hperlink"/>
            <w:noProof/>
          </w:rPr>
          <w:t>Joonis 7. Valitsussektori likviidsed varad, võlakoormus ja netopositsioon (% SKPst)</w:t>
        </w:r>
        <w:r>
          <w:rPr>
            <w:noProof/>
            <w:webHidden/>
          </w:rPr>
          <w:tab/>
        </w:r>
        <w:r>
          <w:rPr>
            <w:noProof/>
            <w:webHidden/>
          </w:rPr>
          <w:fldChar w:fldCharType="begin"/>
        </w:r>
        <w:r>
          <w:rPr>
            <w:noProof/>
            <w:webHidden/>
          </w:rPr>
          <w:instrText xml:space="preserve"> PAGEREF _Toc100230276 \h </w:instrText>
        </w:r>
        <w:r>
          <w:rPr>
            <w:noProof/>
            <w:webHidden/>
          </w:rPr>
        </w:r>
        <w:r>
          <w:rPr>
            <w:noProof/>
            <w:webHidden/>
          </w:rPr>
          <w:fldChar w:fldCharType="separate"/>
        </w:r>
        <w:r>
          <w:rPr>
            <w:noProof/>
            <w:webHidden/>
          </w:rPr>
          <w:t>18</w:t>
        </w:r>
        <w:r>
          <w:rPr>
            <w:noProof/>
            <w:webHidden/>
          </w:rPr>
          <w:fldChar w:fldCharType="end"/>
        </w:r>
      </w:hyperlink>
    </w:p>
    <w:p w14:paraId="186CA3D2" w14:textId="55D62071" w:rsidR="003A01AA" w:rsidRDefault="003A01AA">
      <w:pPr>
        <w:pStyle w:val="Illustratsiooniloend"/>
        <w:rPr>
          <w:rFonts w:eastAsiaTheme="minorEastAsia"/>
          <w:noProof/>
          <w:lang w:eastAsia="et-EE"/>
        </w:rPr>
      </w:pPr>
      <w:hyperlink w:anchor="_Toc100230277" w:history="1">
        <w:r w:rsidRPr="00DA3A77">
          <w:rPr>
            <w:rStyle w:val="Hperlink"/>
            <w:noProof/>
          </w:rPr>
          <w:t>Joonis 8. Keskvalitsuse võla tagasimaksed</w:t>
        </w:r>
        <w:r>
          <w:rPr>
            <w:noProof/>
            <w:webHidden/>
          </w:rPr>
          <w:tab/>
        </w:r>
        <w:r>
          <w:rPr>
            <w:noProof/>
            <w:webHidden/>
          </w:rPr>
          <w:fldChar w:fldCharType="begin"/>
        </w:r>
        <w:r>
          <w:rPr>
            <w:noProof/>
            <w:webHidden/>
          </w:rPr>
          <w:instrText xml:space="preserve"> PAGEREF _Toc100230277 \h </w:instrText>
        </w:r>
        <w:r>
          <w:rPr>
            <w:noProof/>
            <w:webHidden/>
          </w:rPr>
        </w:r>
        <w:r>
          <w:rPr>
            <w:noProof/>
            <w:webHidden/>
          </w:rPr>
          <w:fldChar w:fldCharType="separate"/>
        </w:r>
        <w:r>
          <w:rPr>
            <w:noProof/>
            <w:webHidden/>
          </w:rPr>
          <w:t>18</w:t>
        </w:r>
        <w:r>
          <w:rPr>
            <w:noProof/>
            <w:webHidden/>
          </w:rPr>
          <w:fldChar w:fldCharType="end"/>
        </w:r>
      </w:hyperlink>
    </w:p>
    <w:p w14:paraId="1AD562C4" w14:textId="23863FBB" w:rsidR="003A01AA" w:rsidRDefault="003A01AA">
      <w:pPr>
        <w:pStyle w:val="Illustratsiooniloend"/>
        <w:rPr>
          <w:rFonts w:eastAsiaTheme="minorEastAsia"/>
          <w:noProof/>
          <w:lang w:eastAsia="et-EE"/>
        </w:rPr>
      </w:pPr>
      <w:hyperlink w:anchor="_Toc100230278" w:history="1">
        <w:r w:rsidRPr="00DA3A77">
          <w:rPr>
            <w:rStyle w:val="Hperlink"/>
            <w:noProof/>
          </w:rPr>
          <w:t>Joonis 9. Majanduskasv, positiivne riskistsenaarium (%)</w:t>
        </w:r>
        <w:r>
          <w:rPr>
            <w:noProof/>
            <w:webHidden/>
          </w:rPr>
          <w:tab/>
        </w:r>
        <w:r>
          <w:rPr>
            <w:noProof/>
            <w:webHidden/>
          </w:rPr>
          <w:fldChar w:fldCharType="begin"/>
        </w:r>
        <w:r>
          <w:rPr>
            <w:noProof/>
            <w:webHidden/>
          </w:rPr>
          <w:instrText xml:space="preserve"> PAGEREF _Toc100230278 \h </w:instrText>
        </w:r>
        <w:r>
          <w:rPr>
            <w:noProof/>
            <w:webHidden/>
          </w:rPr>
        </w:r>
        <w:r>
          <w:rPr>
            <w:noProof/>
            <w:webHidden/>
          </w:rPr>
          <w:fldChar w:fldCharType="separate"/>
        </w:r>
        <w:r>
          <w:rPr>
            <w:noProof/>
            <w:webHidden/>
          </w:rPr>
          <w:t>20</w:t>
        </w:r>
        <w:r>
          <w:rPr>
            <w:noProof/>
            <w:webHidden/>
          </w:rPr>
          <w:fldChar w:fldCharType="end"/>
        </w:r>
      </w:hyperlink>
    </w:p>
    <w:p w14:paraId="073ACAE1" w14:textId="40856CFB" w:rsidR="003A01AA" w:rsidRDefault="003A01AA">
      <w:pPr>
        <w:pStyle w:val="Illustratsiooniloend"/>
        <w:rPr>
          <w:rFonts w:eastAsiaTheme="minorEastAsia"/>
          <w:noProof/>
          <w:lang w:eastAsia="et-EE"/>
        </w:rPr>
      </w:pPr>
      <w:hyperlink w:anchor="_Toc100230279" w:history="1">
        <w:r w:rsidRPr="00DA3A77">
          <w:rPr>
            <w:rStyle w:val="Hperlink"/>
            <w:noProof/>
          </w:rPr>
          <w:t>Joonis 10. Sõja mõju majandusele (2015.a püsivhindades, mln EUR)</w:t>
        </w:r>
        <w:r>
          <w:rPr>
            <w:noProof/>
            <w:webHidden/>
          </w:rPr>
          <w:tab/>
        </w:r>
        <w:r>
          <w:rPr>
            <w:noProof/>
            <w:webHidden/>
          </w:rPr>
          <w:fldChar w:fldCharType="begin"/>
        </w:r>
        <w:r>
          <w:rPr>
            <w:noProof/>
            <w:webHidden/>
          </w:rPr>
          <w:instrText xml:space="preserve"> PAGEREF _Toc100230279 \h </w:instrText>
        </w:r>
        <w:r>
          <w:rPr>
            <w:noProof/>
            <w:webHidden/>
          </w:rPr>
        </w:r>
        <w:r>
          <w:rPr>
            <w:noProof/>
            <w:webHidden/>
          </w:rPr>
          <w:fldChar w:fldCharType="separate"/>
        </w:r>
        <w:r>
          <w:rPr>
            <w:noProof/>
            <w:webHidden/>
          </w:rPr>
          <w:t>23</w:t>
        </w:r>
        <w:r>
          <w:rPr>
            <w:noProof/>
            <w:webHidden/>
          </w:rPr>
          <w:fldChar w:fldCharType="end"/>
        </w:r>
      </w:hyperlink>
    </w:p>
    <w:p w14:paraId="7585CCC3" w14:textId="7ECAB875" w:rsidR="003A01AA" w:rsidRDefault="003A01AA">
      <w:pPr>
        <w:pStyle w:val="Illustratsiooniloend"/>
        <w:rPr>
          <w:rFonts w:eastAsiaTheme="minorEastAsia"/>
          <w:noProof/>
          <w:lang w:eastAsia="et-EE"/>
        </w:rPr>
      </w:pPr>
      <w:hyperlink w:anchor="_Toc100230280" w:history="1">
        <w:r w:rsidRPr="00DA3A77">
          <w:rPr>
            <w:rStyle w:val="Hperlink"/>
            <w:noProof/>
          </w:rPr>
          <w:t>Joonis 11. Maagaasi hind Euroopas EUR/MWh</w:t>
        </w:r>
        <w:r>
          <w:rPr>
            <w:noProof/>
            <w:webHidden/>
          </w:rPr>
          <w:tab/>
        </w:r>
        <w:r>
          <w:rPr>
            <w:noProof/>
            <w:webHidden/>
          </w:rPr>
          <w:fldChar w:fldCharType="begin"/>
        </w:r>
        <w:r>
          <w:rPr>
            <w:noProof/>
            <w:webHidden/>
          </w:rPr>
          <w:instrText xml:space="preserve"> PAGEREF _Toc100230280 \h </w:instrText>
        </w:r>
        <w:r>
          <w:rPr>
            <w:noProof/>
            <w:webHidden/>
          </w:rPr>
        </w:r>
        <w:r>
          <w:rPr>
            <w:noProof/>
            <w:webHidden/>
          </w:rPr>
          <w:fldChar w:fldCharType="separate"/>
        </w:r>
        <w:r>
          <w:rPr>
            <w:noProof/>
            <w:webHidden/>
          </w:rPr>
          <w:t>24</w:t>
        </w:r>
        <w:r>
          <w:rPr>
            <w:noProof/>
            <w:webHidden/>
          </w:rPr>
          <w:fldChar w:fldCharType="end"/>
        </w:r>
      </w:hyperlink>
    </w:p>
    <w:p w14:paraId="290D496E" w14:textId="2DC40F30" w:rsidR="003A01AA" w:rsidRDefault="003A01AA">
      <w:pPr>
        <w:pStyle w:val="Illustratsiooniloend"/>
        <w:rPr>
          <w:rFonts w:eastAsiaTheme="minorEastAsia"/>
          <w:noProof/>
          <w:lang w:eastAsia="et-EE"/>
        </w:rPr>
      </w:pPr>
      <w:hyperlink w:anchor="_Toc100230281" w:history="1">
        <w:r w:rsidRPr="00DA3A77">
          <w:rPr>
            <w:rStyle w:val="Hperlink"/>
            <w:noProof/>
          </w:rPr>
          <w:t>Joonis 12. Tarbijate kindlustunde indeks Eestis ja Euroopa Liidus (Eurostati andmed)</w:t>
        </w:r>
        <w:r>
          <w:rPr>
            <w:noProof/>
            <w:webHidden/>
          </w:rPr>
          <w:tab/>
        </w:r>
        <w:r>
          <w:rPr>
            <w:noProof/>
            <w:webHidden/>
          </w:rPr>
          <w:fldChar w:fldCharType="begin"/>
        </w:r>
        <w:r>
          <w:rPr>
            <w:noProof/>
            <w:webHidden/>
          </w:rPr>
          <w:instrText xml:space="preserve"> PAGEREF _Toc100230281 \h </w:instrText>
        </w:r>
        <w:r>
          <w:rPr>
            <w:noProof/>
            <w:webHidden/>
          </w:rPr>
        </w:r>
        <w:r>
          <w:rPr>
            <w:noProof/>
            <w:webHidden/>
          </w:rPr>
          <w:fldChar w:fldCharType="separate"/>
        </w:r>
        <w:r>
          <w:rPr>
            <w:noProof/>
            <w:webHidden/>
          </w:rPr>
          <w:t>24</w:t>
        </w:r>
        <w:r>
          <w:rPr>
            <w:noProof/>
            <w:webHidden/>
          </w:rPr>
          <w:fldChar w:fldCharType="end"/>
        </w:r>
      </w:hyperlink>
    </w:p>
    <w:p w14:paraId="7DC6CCB6" w14:textId="59771715" w:rsidR="003A01AA" w:rsidRDefault="003A01AA">
      <w:pPr>
        <w:pStyle w:val="Illustratsiooniloend"/>
        <w:rPr>
          <w:rFonts w:eastAsiaTheme="minorEastAsia"/>
          <w:noProof/>
          <w:lang w:eastAsia="et-EE"/>
        </w:rPr>
      </w:pPr>
      <w:hyperlink w:anchor="_Toc100230282" w:history="1">
        <w:r w:rsidRPr="00DA3A77">
          <w:rPr>
            <w:rStyle w:val="Hperlink"/>
            <w:noProof/>
          </w:rPr>
          <w:t>Joonis 13. Ettevõtete kindlustunde indeks Eestis ja Euroopa Liidus (Eurostati andmed)</w:t>
        </w:r>
        <w:r>
          <w:rPr>
            <w:noProof/>
            <w:webHidden/>
          </w:rPr>
          <w:tab/>
        </w:r>
        <w:r>
          <w:rPr>
            <w:noProof/>
            <w:webHidden/>
          </w:rPr>
          <w:fldChar w:fldCharType="begin"/>
        </w:r>
        <w:r>
          <w:rPr>
            <w:noProof/>
            <w:webHidden/>
          </w:rPr>
          <w:instrText xml:space="preserve"> PAGEREF _Toc100230282 \h </w:instrText>
        </w:r>
        <w:r>
          <w:rPr>
            <w:noProof/>
            <w:webHidden/>
          </w:rPr>
        </w:r>
        <w:r>
          <w:rPr>
            <w:noProof/>
            <w:webHidden/>
          </w:rPr>
          <w:fldChar w:fldCharType="separate"/>
        </w:r>
        <w:r>
          <w:rPr>
            <w:noProof/>
            <w:webHidden/>
          </w:rPr>
          <w:t>24</w:t>
        </w:r>
        <w:r>
          <w:rPr>
            <w:noProof/>
            <w:webHidden/>
          </w:rPr>
          <w:fldChar w:fldCharType="end"/>
        </w:r>
      </w:hyperlink>
    </w:p>
    <w:p w14:paraId="4EA85475" w14:textId="64DE192E" w:rsidR="003A01AA" w:rsidRDefault="003A01AA">
      <w:pPr>
        <w:pStyle w:val="Illustratsiooniloend"/>
        <w:rPr>
          <w:rFonts w:eastAsiaTheme="minorEastAsia"/>
          <w:noProof/>
          <w:lang w:eastAsia="et-EE"/>
        </w:rPr>
      </w:pPr>
      <w:hyperlink w:anchor="_Toc100230283" w:history="1">
        <w:r w:rsidRPr="00DA3A77">
          <w:rPr>
            <w:rStyle w:val="Hperlink"/>
            <w:noProof/>
          </w:rPr>
          <w:t>Joonis 14. Sõjapõgenike mõju tööturule (%)</w:t>
        </w:r>
        <w:r>
          <w:rPr>
            <w:noProof/>
            <w:webHidden/>
          </w:rPr>
          <w:tab/>
        </w:r>
        <w:r>
          <w:rPr>
            <w:noProof/>
            <w:webHidden/>
          </w:rPr>
          <w:fldChar w:fldCharType="begin"/>
        </w:r>
        <w:r>
          <w:rPr>
            <w:noProof/>
            <w:webHidden/>
          </w:rPr>
          <w:instrText xml:space="preserve"> PAGEREF _Toc100230283 \h </w:instrText>
        </w:r>
        <w:r>
          <w:rPr>
            <w:noProof/>
            <w:webHidden/>
          </w:rPr>
        </w:r>
        <w:r>
          <w:rPr>
            <w:noProof/>
            <w:webHidden/>
          </w:rPr>
          <w:fldChar w:fldCharType="separate"/>
        </w:r>
        <w:r>
          <w:rPr>
            <w:noProof/>
            <w:webHidden/>
          </w:rPr>
          <w:t>26</w:t>
        </w:r>
        <w:r>
          <w:rPr>
            <w:noProof/>
            <w:webHidden/>
          </w:rPr>
          <w:fldChar w:fldCharType="end"/>
        </w:r>
      </w:hyperlink>
    </w:p>
    <w:p w14:paraId="2ABCED8A" w14:textId="5CB36255" w:rsidR="003A01AA" w:rsidRDefault="003A01AA">
      <w:pPr>
        <w:pStyle w:val="Illustratsiooniloend"/>
        <w:rPr>
          <w:rFonts w:eastAsiaTheme="minorEastAsia"/>
          <w:noProof/>
          <w:lang w:eastAsia="et-EE"/>
        </w:rPr>
      </w:pPr>
      <w:hyperlink w:anchor="_Toc100230284" w:history="1">
        <w:r w:rsidRPr="00DA3A77">
          <w:rPr>
            <w:rStyle w:val="Hperlink"/>
            <w:noProof/>
          </w:rPr>
          <w:t>Joonis 15. Valitsussektori kulutused Euroopa Liidu riikides 2020. aastal (% SKPst)</w:t>
        </w:r>
        <w:r>
          <w:rPr>
            <w:noProof/>
            <w:webHidden/>
          </w:rPr>
          <w:tab/>
        </w:r>
        <w:r>
          <w:rPr>
            <w:noProof/>
            <w:webHidden/>
          </w:rPr>
          <w:fldChar w:fldCharType="begin"/>
        </w:r>
        <w:r>
          <w:rPr>
            <w:noProof/>
            <w:webHidden/>
          </w:rPr>
          <w:instrText xml:space="preserve"> PAGEREF _Toc100230284 \h </w:instrText>
        </w:r>
        <w:r>
          <w:rPr>
            <w:noProof/>
            <w:webHidden/>
          </w:rPr>
        </w:r>
        <w:r>
          <w:rPr>
            <w:noProof/>
            <w:webHidden/>
          </w:rPr>
          <w:fldChar w:fldCharType="separate"/>
        </w:r>
        <w:r>
          <w:rPr>
            <w:noProof/>
            <w:webHidden/>
          </w:rPr>
          <w:t>36</w:t>
        </w:r>
        <w:r>
          <w:rPr>
            <w:noProof/>
            <w:webHidden/>
          </w:rPr>
          <w:fldChar w:fldCharType="end"/>
        </w:r>
      </w:hyperlink>
    </w:p>
    <w:p w14:paraId="2CF1833A" w14:textId="181926A0" w:rsidR="003A01AA" w:rsidRDefault="003A01AA">
      <w:pPr>
        <w:pStyle w:val="Illustratsiooniloend"/>
        <w:rPr>
          <w:rFonts w:eastAsiaTheme="minorEastAsia"/>
          <w:noProof/>
          <w:lang w:eastAsia="et-EE"/>
        </w:rPr>
      </w:pPr>
      <w:hyperlink w:anchor="_Toc100230285" w:history="1">
        <w:r w:rsidRPr="00DA3A77">
          <w:rPr>
            <w:rStyle w:val="Hperlink"/>
            <w:noProof/>
          </w:rPr>
          <w:t>Joonis 16. Valitsussektori kulud valitsemisfunktsiooni järgi Eestis (% SKPst)</w:t>
        </w:r>
        <w:r>
          <w:rPr>
            <w:noProof/>
            <w:webHidden/>
          </w:rPr>
          <w:tab/>
        </w:r>
        <w:r>
          <w:rPr>
            <w:noProof/>
            <w:webHidden/>
          </w:rPr>
          <w:fldChar w:fldCharType="begin"/>
        </w:r>
        <w:r>
          <w:rPr>
            <w:noProof/>
            <w:webHidden/>
          </w:rPr>
          <w:instrText xml:space="preserve"> PAGEREF _Toc100230285 \h </w:instrText>
        </w:r>
        <w:r>
          <w:rPr>
            <w:noProof/>
            <w:webHidden/>
          </w:rPr>
        </w:r>
        <w:r>
          <w:rPr>
            <w:noProof/>
            <w:webHidden/>
          </w:rPr>
          <w:fldChar w:fldCharType="separate"/>
        </w:r>
        <w:r>
          <w:rPr>
            <w:noProof/>
            <w:webHidden/>
          </w:rPr>
          <w:t>36</w:t>
        </w:r>
        <w:r>
          <w:rPr>
            <w:noProof/>
            <w:webHidden/>
          </w:rPr>
          <w:fldChar w:fldCharType="end"/>
        </w:r>
      </w:hyperlink>
    </w:p>
    <w:p w14:paraId="5D6CE254" w14:textId="48441579" w:rsidR="00CC2CC2" w:rsidRPr="005822EA" w:rsidRDefault="00177B6A" w:rsidP="00C828EE">
      <w:pPr>
        <w:pStyle w:val="Phitekst"/>
      </w:pPr>
      <w:r w:rsidRPr="005822EA">
        <w:fldChar w:fldCharType="end"/>
      </w:r>
    </w:p>
    <w:p w14:paraId="3533A45B" w14:textId="45A1BF49" w:rsidR="00BF294D" w:rsidRPr="005822EA" w:rsidRDefault="00FD6AFF" w:rsidP="00E66452">
      <w:pPr>
        <w:pStyle w:val="Numbritapealkiri"/>
        <w:jc w:val="both"/>
      </w:pPr>
      <w:bookmarkStart w:id="13" w:name="_Toc64844919"/>
      <w:bookmarkStart w:id="14" w:name="_Toc64847871"/>
      <w:bookmarkStart w:id="15" w:name="_Toc64848904"/>
      <w:bookmarkStart w:id="16" w:name="_Toc100230251"/>
      <w:r w:rsidRPr="005822EA">
        <w:t>TABELID</w:t>
      </w:r>
      <w:bookmarkEnd w:id="13"/>
      <w:bookmarkEnd w:id="14"/>
      <w:bookmarkEnd w:id="15"/>
      <w:bookmarkEnd w:id="16"/>
    </w:p>
    <w:p w14:paraId="440B77F0" w14:textId="021D7175" w:rsidR="003A01AA" w:rsidRDefault="00177B6A">
      <w:pPr>
        <w:pStyle w:val="Illustratsiooniloend"/>
        <w:rPr>
          <w:rFonts w:eastAsiaTheme="minorEastAsia"/>
          <w:noProof/>
          <w:lang w:eastAsia="et-EE"/>
        </w:rPr>
      </w:pPr>
      <w:r w:rsidRPr="005822EA">
        <w:fldChar w:fldCharType="begin"/>
      </w:r>
      <w:r w:rsidR="00B67FAB" w:rsidRPr="005822EA">
        <w:instrText xml:space="preserve"> TOC \h \z \c "Tabel" </w:instrText>
      </w:r>
      <w:r w:rsidRPr="005822EA">
        <w:fldChar w:fldCharType="separate"/>
      </w:r>
      <w:hyperlink w:anchor="_Toc100230286" w:history="1">
        <w:r w:rsidR="003A01AA" w:rsidRPr="00E71FF4">
          <w:rPr>
            <w:rStyle w:val="Hperlink"/>
            <w:noProof/>
          </w:rPr>
          <w:t>Tabel 1. Prognoosi põhinäitajad</w:t>
        </w:r>
        <w:r w:rsidR="003A01AA">
          <w:rPr>
            <w:noProof/>
            <w:webHidden/>
          </w:rPr>
          <w:tab/>
        </w:r>
        <w:r w:rsidR="003A01AA">
          <w:rPr>
            <w:noProof/>
            <w:webHidden/>
          </w:rPr>
          <w:fldChar w:fldCharType="begin"/>
        </w:r>
        <w:r w:rsidR="003A01AA">
          <w:rPr>
            <w:noProof/>
            <w:webHidden/>
          </w:rPr>
          <w:instrText xml:space="preserve"> PAGEREF _Toc100230286 \h </w:instrText>
        </w:r>
        <w:r w:rsidR="003A01AA">
          <w:rPr>
            <w:noProof/>
            <w:webHidden/>
          </w:rPr>
        </w:r>
        <w:r w:rsidR="003A01AA">
          <w:rPr>
            <w:noProof/>
            <w:webHidden/>
          </w:rPr>
          <w:fldChar w:fldCharType="separate"/>
        </w:r>
        <w:r w:rsidR="003A01AA">
          <w:rPr>
            <w:noProof/>
            <w:webHidden/>
          </w:rPr>
          <w:t>5</w:t>
        </w:r>
        <w:r w:rsidR="003A01AA">
          <w:rPr>
            <w:noProof/>
            <w:webHidden/>
          </w:rPr>
          <w:fldChar w:fldCharType="end"/>
        </w:r>
      </w:hyperlink>
    </w:p>
    <w:p w14:paraId="07051087" w14:textId="620F884A" w:rsidR="003A01AA" w:rsidRDefault="003A01AA">
      <w:pPr>
        <w:pStyle w:val="Illustratsiooniloend"/>
        <w:rPr>
          <w:rFonts w:eastAsiaTheme="minorEastAsia"/>
          <w:noProof/>
          <w:lang w:eastAsia="et-EE"/>
        </w:rPr>
      </w:pPr>
      <w:hyperlink w:anchor="_Toc100230287" w:history="1">
        <w:r w:rsidRPr="00E71FF4">
          <w:rPr>
            <w:rStyle w:val="Hperlink"/>
            <w:noProof/>
          </w:rPr>
          <w:t>Tabel 2. 2019.-2026. aasta riigieelarve tulude areng (mln eurot)</w:t>
        </w:r>
        <w:r>
          <w:rPr>
            <w:noProof/>
            <w:webHidden/>
          </w:rPr>
          <w:tab/>
        </w:r>
        <w:r>
          <w:rPr>
            <w:noProof/>
            <w:webHidden/>
          </w:rPr>
          <w:fldChar w:fldCharType="begin"/>
        </w:r>
        <w:r>
          <w:rPr>
            <w:noProof/>
            <w:webHidden/>
          </w:rPr>
          <w:instrText xml:space="preserve"> PAGEREF _Toc100230287 \h </w:instrText>
        </w:r>
        <w:r>
          <w:rPr>
            <w:noProof/>
            <w:webHidden/>
          </w:rPr>
        </w:r>
        <w:r>
          <w:rPr>
            <w:noProof/>
            <w:webHidden/>
          </w:rPr>
          <w:fldChar w:fldCharType="separate"/>
        </w:r>
        <w:r>
          <w:rPr>
            <w:noProof/>
            <w:webHidden/>
          </w:rPr>
          <w:t>11</w:t>
        </w:r>
        <w:r>
          <w:rPr>
            <w:noProof/>
            <w:webHidden/>
          </w:rPr>
          <w:fldChar w:fldCharType="end"/>
        </w:r>
      </w:hyperlink>
    </w:p>
    <w:p w14:paraId="6857B274" w14:textId="55E68854" w:rsidR="003A01AA" w:rsidRDefault="003A01AA">
      <w:pPr>
        <w:pStyle w:val="Illustratsiooniloend"/>
        <w:rPr>
          <w:rFonts w:eastAsiaTheme="minorEastAsia"/>
          <w:noProof/>
          <w:lang w:eastAsia="et-EE"/>
        </w:rPr>
      </w:pPr>
      <w:hyperlink w:anchor="_Toc100230288" w:history="1">
        <w:r w:rsidRPr="00E71FF4">
          <w:rPr>
            <w:rStyle w:val="Hperlink"/>
            <w:noProof/>
          </w:rPr>
          <w:t>Tabel 3. Mittemaksuliste tulude 2022. aasta kevadise prognoosi muutus võrreldes 2022. aasta eelarve prognoosiga (mln eurot)</w:t>
        </w:r>
        <w:r>
          <w:rPr>
            <w:noProof/>
            <w:webHidden/>
          </w:rPr>
          <w:tab/>
        </w:r>
        <w:r>
          <w:rPr>
            <w:noProof/>
            <w:webHidden/>
          </w:rPr>
          <w:fldChar w:fldCharType="begin"/>
        </w:r>
        <w:r>
          <w:rPr>
            <w:noProof/>
            <w:webHidden/>
          </w:rPr>
          <w:instrText xml:space="preserve"> PAGEREF _Toc100230288 \h </w:instrText>
        </w:r>
        <w:r>
          <w:rPr>
            <w:noProof/>
            <w:webHidden/>
          </w:rPr>
        </w:r>
        <w:r>
          <w:rPr>
            <w:noProof/>
            <w:webHidden/>
          </w:rPr>
          <w:fldChar w:fldCharType="separate"/>
        </w:r>
        <w:r>
          <w:rPr>
            <w:noProof/>
            <w:webHidden/>
          </w:rPr>
          <w:t>14</w:t>
        </w:r>
        <w:r>
          <w:rPr>
            <w:noProof/>
            <w:webHidden/>
          </w:rPr>
          <w:fldChar w:fldCharType="end"/>
        </w:r>
      </w:hyperlink>
    </w:p>
    <w:p w14:paraId="0765FAD0" w14:textId="11BCDB83" w:rsidR="003A01AA" w:rsidRDefault="003A01AA">
      <w:pPr>
        <w:pStyle w:val="Illustratsiooniloend"/>
        <w:rPr>
          <w:rFonts w:eastAsiaTheme="minorEastAsia"/>
          <w:noProof/>
          <w:lang w:eastAsia="et-EE"/>
        </w:rPr>
      </w:pPr>
      <w:hyperlink w:anchor="_Toc100230289" w:history="1">
        <w:r w:rsidRPr="00E71FF4">
          <w:rPr>
            <w:rStyle w:val="Hperlink"/>
            <w:noProof/>
          </w:rPr>
          <w:t>Tabel 4. Valitsussektori eelarvepositsioon riskistsenaariumi kohaselt 2022-2024</w:t>
        </w:r>
        <w:r>
          <w:rPr>
            <w:noProof/>
            <w:webHidden/>
          </w:rPr>
          <w:tab/>
        </w:r>
        <w:r>
          <w:rPr>
            <w:noProof/>
            <w:webHidden/>
          </w:rPr>
          <w:fldChar w:fldCharType="begin"/>
        </w:r>
        <w:r>
          <w:rPr>
            <w:noProof/>
            <w:webHidden/>
          </w:rPr>
          <w:instrText xml:space="preserve"> PAGEREF _Toc100230289 \h </w:instrText>
        </w:r>
        <w:r>
          <w:rPr>
            <w:noProof/>
            <w:webHidden/>
          </w:rPr>
        </w:r>
        <w:r>
          <w:rPr>
            <w:noProof/>
            <w:webHidden/>
          </w:rPr>
          <w:fldChar w:fldCharType="separate"/>
        </w:r>
        <w:r>
          <w:rPr>
            <w:noProof/>
            <w:webHidden/>
          </w:rPr>
          <w:t>21</w:t>
        </w:r>
        <w:r>
          <w:rPr>
            <w:noProof/>
            <w:webHidden/>
          </w:rPr>
          <w:fldChar w:fldCharType="end"/>
        </w:r>
      </w:hyperlink>
    </w:p>
    <w:p w14:paraId="6E53BBE6" w14:textId="62BEE737" w:rsidR="003A01AA" w:rsidRDefault="003A01AA">
      <w:pPr>
        <w:pStyle w:val="Illustratsiooniloend"/>
        <w:rPr>
          <w:rFonts w:eastAsiaTheme="minorEastAsia"/>
          <w:noProof/>
          <w:lang w:eastAsia="et-EE"/>
        </w:rPr>
      </w:pPr>
      <w:hyperlink w:anchor="_Toc100230290" w:history="1">
        <w:r w:rsidRPr="00E71FF4">
          <w:rPr>
            <w:rStyle w:val="Hperlink"/>
            <w:noProof/>
          </w:rPr>
          <w:t>Tabel 5. Sisemajanduse koguprodukti prognoos 2022-2026</w:t>
        </w:r>
        <w:r>
          <w:rPr>
            <w:noProof/>
            <w:webHidden/>
          </w:rPr>
          <w:tab/>
        </w:r>
        <w:r>
          <w:rPr>
            <w:noProof/>
            <w:webHidden/>
          </w:rPr>
          <w:fldChar w:fldCharType="begin"/>
        </w:r>
        <w:r>
          <w:rPr>
            <w:noProof/>
            <w:webHidden/>
          </w:rPr>
          <w:instrText xml:space="preserve"> PAGEREF _Toc100230290 \h </w:instrText>
        </w:r>
        <w:r>
          <w:rPr>
            <w:noProof/>
            <w:webHidden/>
          </w:rPr>
        </w:r>
        <w:r>
          <w:rPr>
            <w:noProof/>
            <w:webHidden/>
          </w:rPr>
          <w:fldChar w:fldCharType="separate"/>
        </w:r>
        <w:r>
          <w:rPr>
            <w:noProof/>
            <w:webHidden/>
          </w:rPr>
          <w:t>27</w:t>
        </w:r>
        <w:r>
          <w:rPr>
            <w:noProof/>
            <w:webHidden/>
          </w:rPr>
          <w:fldChar w:fldCharType="end"/>
        </w:r>
      </w:hyperlink>
    </w:p>
    <w:p w14:paraId="1D5C6B8E" w14:textId="432102F3" w:rsidR="003A01AA" w:rsidRDefault="003A01AA">
      <w:pPr>
        <w:pStyle w:val="Illustratsiooniloend"/>
        <w:rPr>
          <w:rFonts w:eastAsiaTheme="minorEastAsia"/>
          <w:noProof/>
          <w:lang w:eastAsia="et-EE"/>
        </w:rPr>
      </w:pPr>
      <w:hyperlink w:anchor="_Toc100230291" w:history="1">
        <w:r w:rsidRPr="00E71FF4">
          <w:rPr>
            <w:rStyle w:val="Hperlink"/>
            <w:noProof/>
          </w:rPr>
          <w:t>Tabel 6. Hindade prognoos 2022–2026</w:t>
        </w:r>
        <w:r>
          <w:rPr>
            <w:noProof/>
            <w:webHidden/>
          </w:rPr>
          <w:tab/>
        </w:r>
        <w:r>
          <w:rPr>
            <w:noProof/>
            <w:webHidden/>
          </w:rPr>
          <w:fldChar w:fldCharType="begin"/>
        </w:r>
        <w:r>
          <w:rPr>
            <w:noProof/>
            <w:webHidden/>
          </w:rPr>
          <w:instrText xml:space="preserve"> PAGEREF _Toc100230291 \h </w:instrText>
        </w:r>
        <w:r>
          <w:rPr>
            <w:noProof/>
            <w:webHidden/>
          </w:rPr>
        </w:r>
        <w:r>
          <w:rPr>
            <w:noProof/>
            <w:webHidden/>
          </w:rPr>
          <w:fldChar w:fldCharType="separate"/>
        </w:r>
        <w:r>
          <w:rPr>
            <w:noProof/>
            <w:webHidden/>
          </w:rPr>
          <w:t>27</w:t>
        </w:r>
        <w:r>
          <w:rPr>
            <w:noProof/>
            <w:webHidden/>
          </w:rPr>
          <w:fldChar w:fldCharType="end"/>
        </w:r>
      </w:hyperlink>
    </w:p>
    <w:p w14:paraId="7D96E9F1" w14:textId="61CE696A" w:rsidR="003A01AA" w:rsidRDefault="003A01AA">
      <w:pPr>
        <w:pStyle w:val="Illustratsiooniloend"/>
        <w:rPr>
          <w:rFonts w:eastAsiaTheme="minorEastAsia"/>
          <w:noProof/>
          <w:lang w:eastAsia="et-EE"/>
        </w:rPr>
      </w:pPr>
      <w:hyperlink w:anchor="_Toc100230292" w:history="1">
        <w:r w:rsidRPr="00E71FF4">
          <w:rPr>
            <w:rStyle w:val="Hperlink"/>
            <w:noProof/>
          </w:rPr>
          <w:t>Tabel 7. Tööturu prognoos 2022–2026 (15–74-aastased)</w:t>
        </w:r>
        <w:r>
          <w:rPr>
            <w:noProof/>
            <w:webHidden/>
          </w:rPr>
          <w:tab/>
        </w:r>
        <w:r>
          <w:rPr>
            <w:noProof/>
            <w:webHidden/>
          </w:rPr>
          <w:fldChar w:fldCharType="begin"/>
        </w:r>
        <w:r>
          <w:rPr>
            <w:noProof/>
            <w:webHidden/>
          </w:rPr>
          <w:instrText xml:space="preserve"> PAGEREF _Toc100230292 \h </w:instrText>
        </w:r>
        <w:r>
          <w:rPr>
            <w:noProof/>
            <w:webHidden/>
          </w:rPr>
        </w:r>
        <w:r>
          <w:rPr>
            <w:noProof/>
            <w:webHidden/>
          </w:rPr>
          <w:fldChar w:fldCharType="separate"/>
        </w:r>
        <w:r>
          <w:rPr>
            <w:noProof/>
            <w:webHidden/>
          </w:rPr>
          <w:t>28</w:t>
        </w:r>
        <w:r>
          <w:rPr>
            <w:noProof/>
            <w:webHidden/>
          </w:rPr>
          <w:fldChar w:fldCharType="end"/>
        </w:r>
      </w:hyperlink>
    </w:p>
    <w:p w14:paraId="2199CE12" w14:textId="75479D76" w:rsidR="003A01AA" w:rsidRDefault="003A01AA">
      <w:pPr>
        <w:pStyle w:val="Illustratsiooniloend"/>
        <w:rPr>
          <w:rFonts w:eastAsiaTheme="minorEastAsia"/>
          <w:noProof/>
          <w:lang w:eastAsia="et-EE"/>
        </w:rPr>
      </w:pPr>
      <w:hyperlink w:anchor="_Toc100230293" w:history="1">
        <w:r w:rsidRPr="00E71FF4">
          <w:rPr>
            <w:rStyle w:val="Hperlink"/>
            <w:noProof/>
          </w:rPr>
          <w:t>Tabel 8. Maksebilansi prognoos 2022–2026</w:t>
        </w:r>
        <w:r>
          <w:rPr>
            <w:noProof/>
            <w:webHidden/>
          </w:rPr>
          <w:tab/>
        </w:r>
        <w:r>
          <w:rPr>
            <w:noProof/>
            <w:webHidden/>
          </w:rPr>
          <w:fldChar w:fldCharType="begin"/>
        </w:r>
        <w:r>
          <w:rPr>
            <w:noProof/>
            <w:webHidden/>
          </w:rPr>
          <w:instrText xml:space="preserve"> PAGEREF _Toc100230293 \h </w:instrText>
        </w:r>
        <w:r>
          <w:rPr>
            <w:noProof/>
            <w:webHidden/>
          </w:rPr>
        </w:r>
        <w:r>
          <w:rPr>
            <w:noProof/>
            <w:webHidden/>
          </w:rPr>
          <w:fldChar w:fldCharType="separate"/>
        </w:r>
        <w:r>
          <w:rPr>
            <w:noProof/>
            <w:webHidden/>
          </w:rPr>
          <w:t>28</w:t>
        </w:r>
        <w:r>
          <w:rPr>
            <w:noProof/>
            <w:webHidden/>
          </w:rPr>
          <w:fldChar w:fldCharType="end"/>
        </w:r>
      </w:hyperlink>
    </w:p>
    <w:p w14:paraId="24834469" w14:textId="78C1EAD5" w:rsidR="003A01AA" w:rsidRDefault="003A01AA">
      <w:pPr>
        <w:pStyle w:val="Illustratsiooniloend"/>
        <w:rPr>
          <w:rFonts w:eastAsiaTheme="minorEastAsia"/>
          <w:noProof/>
          <w:lang w:eastAsia="et-EE"/>
        </w:rPr>
      </w:pPr>
      <w:hyperlink w:anchor="_Toc100230294" w:history="1">
        <w:r w:rsidRPr="00E71FF4">
          <w:rPr>
            <w:rStyle w:val="Hperlink"/>
            <w:noProof/>
          </w:rPr>
          <w:t>Tabel 9. Riskistsenaarium</w:t>
        </w:r>
        <w:r>
          <w:rPr>
            <w:noProof/>
            <w:webHidden/>
          </w:rPr>
          <w:tab/>
        </w:r>
        <w:r>
          <w:rPr>
            <w:noProof/>
            <w:webHidden/>
          </w:rPr>
          <w:fldChar w:fldCharType="begin"/>
        </w:r>
        <w:r>
          <w:rPr>
            <w:noProof/>
            <w:webHidden/>
          </w:rPr>
          <w:instrText xml:space="preserve"> PAGEREF _Toc100230294 \h </w:instrText>
        </w:r>
        <w:r>
          <w:rPr>
            <w:noProof/>
            <w:webHidden/>
          </w:rPr>
        </w:r>
        <w:r>
          <w:rPr>
            <w:noProof/>
            <w:webHidden/>
          </w:rPr>
          <w:fldChar w:fldCharType="separate"/>
        </w:r>
        <w:r>
          <w:rPr>
            <w:noProof/>
            <w:webHidden/>
          </w:rPr>
          <w:t>28</w:t>
        </w:r>
        <w:r>
          <w:rPr>
            <w:noProof/>
            <w:webHidden/>
          </w:rPr>
          <w:fldChar w:fldCharType="end"/>
        </w:r>
      </w:hyperlink>
    </w:p>
    <w:p w14:paraId="5AE428A4" w14:textId="2319DD3C" w:rsidR="003A01AA" w:rsidRDefault="003A01AA">
      <w:pPr>
        <w:pStyle w:val="Illustratsiooniloend"/>
        <w:rPr>
          <w:rFonts w:eastAsiaTheme="minorEastAsia"/>
          <w:noProof/>
          <w:lang w:eastAsia="et-EE"/>
        </w:rPr>
      </w:pPr>
      <w:hyperlink w:anchor="_Toc100230295" w:history="1">
        <w:r w:rsidRPr="00E71FF4">
          <w:rPr>
            <w:rStyle w:val="Hperlink"/>
            <w:noProof/>
          </w:rPr>
          <w:t>Tabel 10. Valitsussektori eelarve tulud ja kulud 2021–2026</w:t>
        </w:r>
        <w:r>
          <w:rPr>
            <w:noProof/>
            <w:webHidden/>
          </w:rPr>
          <w:tab/>
        </w:r>
        <w:r>
          <w:rPr>
            <w:noProof/>
            <w:webHidden/>
          </w:rPr>
          <w:fldChar w:fldCharType="begin"/>
        </w:r>
        <w:r>
          <w:rPr>
            <w:noProof/>
            <w:webHidden/>
          </w:rPr>
          <w:instrText xml:space="preserve"> PAGEREF _Toc100230295 \h </w:instrText>
        </w:r>
        <w:r>
          <w:rPr>
            <w:noProof/>
            <w:webHidden/>
          </w:rPr>
        </w:r>
        <w:r>
          <w:rPr>
            <w:noProof/>
            <w:webHidden/>
          </w:rPr>
          <w:fldChar w:fldCharType="separate"/>
        </w:r>
        <w:r>
          <w:rPr>
            <w:noProof/>
            <w:webHidden/>
          </w:rPr>
          <w:t>29</w:t>
        </w:r>
        <w:r>
          <w:rPr>
            <w:noProof/>
            <w:webHidden/>
          </w:rPr>
          <w:fldChar w:fldCharType="end"/>
        </w:r>
      </w:hyperlink>
    </w:p>
    <w:p w14:paraId="7DF7F3C4" w14:textId="515410E5" w:rsidR="003A01AA" w:rsidRDefault="003A01AA">
      <w:pPr>
        <w:pStyle w:val="Illustratsiooniloend"/>
        <w:rPr>
          <w:rFonts w:eastAsiaTheme="minorEastAsia"/>
          <w:noProof/>
          <w:lang w:eastAsia="et-EE"/>
        </w:rPr>
      </w:pPr>
      <w:hyperlink w:anchor="_Toc100230296" w:history="1">
        <w:r w:rsidRPr="00E71FF4">
          <w:rPr>
            <w:rStyle w:val="Hperlink"/>
            <w:noProof/>
          </w:rPr>
          <w:t>Tabel 11. Valitsussektori kulud valitsemisfunktsioonide (COFOG) lõikes (% SKPst)</w:t>
        </w:r>
        <w:r>
          <w:rPr>
            <w:noProof/>
            <w:webHidden/>
          </w:rPr>
          <w:tab/>
        </w:r>
        <w:r>
          <w:rPr>
            <w:noProof/>
            <w:webHidden/>
          </w:rPr>
          <w:fldChar w:fldCharType="begin"/>
        </w:r>
        <w:r>
          <w:rPr>
            <w:noProof/>
            <w:webHidden/>
          </w:rPr>
          <w:instrText xml:space="preserve"> PAGEREF _Toc100230296 \h </w:instrText>
        </w:r>
        <w:r>
          <w:rPr>
            <w:noProof/>
            <w:webHidden/>
          </w:rPr>
        </w:r>
        <w:r>
          <w:rPr>
            <w:noProof/>
            <w:webHidden/>
          </w:rPr>
          <w:fldChar w:fldCharType="separate"/>
        </w:r>
        <w:r>
          <w:rPr>
            <w:noProof/>
            <w:webHidden/>
          </w:rPr>
          <w:t>30</w:t>
        </w:r>
        <w:r>
          <w:rPr>
            <w:noProof/>
            <w:webHidden/>
          </w:rPr>
          <w:fldChar w:fldCharType="end"/>
        </w:r>
      </w:hyperlink>
    </w:p>
    <w:p w14:paraId="2C4F9E64" w14:textId="7CFDB520" w:rsidR="003A01AA" w:rsidRDefault="003A01AA">
      <w:pPr>
        <w:pStyle w:val="Illustratsiooniloend"/>
        <w:rPr>
          <w:rFonts w:eastAsiaTheme="minorEastAsia"/>
          <w:noProof/>
          <w:lang w:eastAsia="et-EE"/>
        </w:rPr>
      </w:pPr>
      <w:hyperlink w:anchor="_Toc100230297" w:history="1">
        <w:r w:rsidRPr="00E71FF4">
          <w:rPr>
            <w:rStyle w:val="Hperlink"/>
            <w:noProof/>
          </w:rPr>
          <w:t>Tabel 12. Tsükliliselt tasandatud eelarvepositsioon aastatel 2020–2026 (% SKPst)</w:t>
        </w:r>
        <w:r>
          <w:rPr>
            <w:noProof/>
            <w:webHidden/>
          </w:rPr>
          <w:tab/>
        </w:r>
        <w:r>
          <w:rPr>
            <w:noProof/>
            <w:webHidden/>
          </w:rPr>
          <w:fldChar w:fldCharType="begin"/>
        </w:r>
        <w:r>
          <w:rPr>
            <w:noProof/>
            <w:webHidden/>
          </w:rPr>
          <w:instrText xml:space="preserve"> PAGEREF _Toc100230297 \h </w:instrText>
        </w:r>
        <w:r>
          <w:rPr>
            <w:noProof/>
            <w:webHidden/>
          </w:rPr>
        </w:r>
        <w:r>
          <w:rPr>
            <w:noProof/>
            <w:webHidden/>
          </w:rPr>
          <w:fldChar w:fldCharType="separate"/>
        </w:r>
        <w:r>
          <w:rPr>
            <w:noProof/>
            <w:webHidden/>
          </w:rPr>
          <w:t>30</w:t>
        </w:r>
        <w:r>
          <w:rPr>
            <w:noProof/>
            <w:webHidden/>
          </w:rPr>
          <w:fldChar w:fldCharType="end"/>
        </w:r>
      </w:hyperlink>
    </w:p>
    <w:p w14:paraId="057C234B" w14:textId="335F2F35" w:rsidR="003A01AA" w:rsidRDefault="003A01AA">
      <w:pPr>
        <w:pStyle w:val="Illustratsiooniloend"/>
        <w:rPr>
          <w:rFonts w:eastAsiaTheme="minorEastAsia"/>
          <w:noProof/>
          <w:lang w:eastAsia="et-EE"/>
        </w:rPr>
      </w:pPr>
      <w:hyperlink w:anchor="_Toc100230298" w:history="1">
        <w:r w:rsidRPr="00E71FF4">
          <w:rPr>
            <w:rStyle w:val="Hperlink"/>
            <w:noProof/>
          </w:rPr>
          <w:t>Tabel 13. 2020. ja 2021.a tegelik riigieelarve täitmine ja 2022.-2026. aasta riigieelarve tulude prognoos</w:t>
        </w:r>
        <w:r>
          <w:rPr>
            <w:noProof/>
            <w:webHidden/>
          </w:rPr>
          <w:tab/>
        </w:r>
        <w:r>
          <w:rPr>
            <w:noProof/>
            <w:webHidden/>
          </w:rPr>
          <w:fldChar w:fldCharType="begin"/>
        </w:r>
        <w:r>
          <w:rPr>
            <w:noProof/>
            <w:webHidden/>
          </w:rPr>
          <w:instrText xml:space="preserve"> PAGEREF _Toc100230298 \h </w:instrText>
        </w:r>
        <w:r>
          <w:rPr>
            <w:noProof/>
            <w:webHidden/>
          </w:rPr>
        </w:r>
        <w:r>
          <w:rPr>
            <w:noProof/>
            <w:webHidden/>
          </w:rPr>
          <w:fldChar w:fldCharType="separate"/>
        </w:r>
        <w:r>
          <w:rPr>
            <w:noProof/>
            <w:webHidden/>
          </w:rPr>
          <w:t>31</w:t>
        </w:r>
        <w:r>
          <w:rPr>
            <w:noProof/>
            <w:webHidden/>
          </w:rPr>
          <w:fldChar w:fldCharType="end"/>
        </w:r>
      </w:hyperlink>
    </w:p>
    <w:p w14:paraId="0662BA3C" w14:textId="687BA904" w:rsidR="003A01AA" w:rsidRDefault="003A01AA">
      <w:pPr>
        <w:pStyle w:val="Illustratsiooniloend"/>
        <w:rPr>
          <w:rFonts w:eastAsiaTheme="minorEastAsia"/>
          <w:noProof/>
          <w:lang w:eastAsia="et-EE"/>
        </w:rPr>
      </w:pPr>
      <w:hyperlink w:anchor="_Toc100230299" w:history="1">
        <w:r w:rsidRPr="00E71FF4">
          <w:rPr>
            <w:rStyle w:val="Hperlink"/>
            <w:noProof/>
          </w:rPr>
          <w:t>Tabel 14. Peamised maksumuudatused 2022. ja 2023. aastal</w:t>
        </w:r>
        <w:r>
          <w:rPr>
            <w:noProof/>
            <w:webHidden/>
          </w:rPr>
          <w:tab/>
        </w:r>
        <w:r>
          <w:rPr>
            <w:noProof/>
            <w:webHidden/>
          </w:rPr>
          <w:fldChar w:fldCharType="begin"/>
        </w:r>
        <w:r>
          <w:rPr>
            <w:noProof/>
            <w:webHidden/>
          </w:rPr>
          <w:instrText xml:space="preserve"> PAGEREF _Toc100230299 \h </w:instrText>
        </w:r>
        <w:r>
          <w:rPr>
            <w:noProof/>
            <w:webHidden/>
          </w:rPr>
        </w:r>
        <w:r>
          <w:rPr>
            <w:noProof/>
            <w:webHidden/>
          </w:rPr>
          <w:fldChar w:fldCharType="separate"/>
        </w:r>
        <w:r>
          <w:rPr>
            <w:noProof/>
            <w:webHidden/>
          </w:rPr>
          <w:t>32</w:t>
        </w:r>
        <w:r>
          <w:rPr>
            <w:noProof/>
            <w:webHidden/>
          </w:rPr>
          <w:fldChar w:fldCharType="end"/>
        </w:r>
      </w:hyperlink>
    </w:p>
    <w:p w14:paraId="148F35F0" w14:textId="52AA7F4D" w:rsidR="003A01AA" w:rsidRDefault="003A01AA">
      <w:pPr>
        <w:pStyle w:val="Illustratsiooniloend"/>
        <w:rPr>
          <w:rFonts w:eastAsiaTheme="minorEastAsia"/>
          <w:noProof/>
          <w:lang w:eastAsia="et-EE"/>
        </w:rPr>
      </w:pPr>
      <w:hyperlink w:anchor="_Toc100230300" w:history="1">
        <w:r w:rsidRPr="00E71FF4">
          <w:rPr>
            <w:rStyle w:val="Hperlink"/>
            <w:noProof/>
          </w:rPr>
          <w:t>Tabel 15. Maksukulud riigieelarves aastatel 2021-2023 (mln eurot)</w:t>
        </w:r>
        <w:r>
          <w:rPr>
            <w:noProof/>
            <w:webHidden/>
          </w:rPr>
          <w:tab/>
        </w:r>
        <w:r>
          <w:rPr>
            <w:noProof/>
            <w:webHidden/>
          </w:rPr>
          <w:fldChar w:fldCharType="begin"/>
        </w:r>
        <w:r>
          <w:rPr>
            <w:noProof/>
            <w:webHidden/>
          </w:rPr>
          <w:instrText xml:space="preserve"> PAGEREF _Toc100230300 \h </w:instrText>
        </w:r>
        <w:r>
          <w:rPr>
            <w:noProof/>
            <w:webHidden/>
          </w:rPr>
        </w:r>
        <w:r>
          <w:rPr>
            <w:noProof/>
            <w:webHidden/>
          </w:rPr>
          <w:fldChar w:fldCharType="separate"/>
        </w:r>
        <w:r>
          <w:rPr>
            <w:noProof/>
            <w:webHidden/>
          </w:rPr>
          <w:t>33</w:t>
        </w:r>
        <w:r>
          <w:rPr>
            <w:noProof/>
            <w:webHidden/>
          </w:rPr>
          <w:fldChar w:fldCharType="end"/>
        </w:r>
      </w:hyperlink>
    </w:p>
    <w:p w14:paraId="5514FD1F" w14:textId="3EDC483D" w:rsidR="003A01AA" w:rsidRDefault="003A01AA">
      <w:pPr>
        <w:pStyle w:val="Illustratsiooniloend"/>
        <w:rPr>
          <w:rFonts w:eastAsiaTheme="minorEastAsia"/>
          <w:noProof/>
          <w:lang w:eastAsia="et-EE"/>
        </w:rPr>
      </w:pPr>
      <w:hyperlink w:anchor="_Toc100230301" w:history="1">
        <w:r w:rsidRPr="00E71FF4">
          <w:rPr>
            <w:rStyle w:val="Hperlink"/>
            <w:noProof/>
          </w:rPr>
          <w:t>Tabel 16. Valitsussektori võlakoormuse muutus 2021. aastal</w:t>
        </w:r>
        <w:r>
          <w:rPr>
            <w:noProof/>
            <w:webHidden/>
          </w:rPr>
          <w:tab/>
        </w:r>
        <w:r>
          <w:rPr>
            <w:noProof/>
            <w:webHidden/>
          </w:rPr>
          <w:fldChar w:fldCharType="begin"/>
        </w:r>
        <w:r>
          <w:rPr>
            <w:noProof/>
            <w:webHidden/>
          </w:rPr>
          <w:instrText xml:space="preserve"> PAGEREF _Toc100230301 \h </w:instrText>
        </w:r>
        <w:r>
          <w:rPr>
            <w:noProof/>
            <w:webHidden/>
          </w:rPr>
        </w:r>
        <w:r>
          <w:rPr>
            <w:noProof/>
            <w:webHidden/>
          </w:rPr>
          <w:fldChar w:fldCharType="separate"/>
        </w:r>
        <w:r>
          <w:rPr>
            <w:noProof/>
            <w:webHidden/>
          </w:rPr>
          <w:t>34</w:t>
        </w:r>
        <w:r>
          <w:rPr>
            <w:noProof/>
            <w:webHidden/>
          </w:rPr>
          <w:fldChar w:fldCharType="end"/>
        </w:r>
      </w:hyperlink>
    </w:p>
    <w:p w14:paraId="213F6C4D" w14:textId="79D83D8F" w:rsidR="003A01AA" w:rsidRDefault="003A01AA">
      <w:pPr>
        <w:pStyle w:val="Illustratsiooniloend"/>
        <w:rPr>
          <w:rFonts w:eastAsiaTheme="minorEastAsia"/>
          <w:noProof/>
          <w:lang w:eastAsia="et-EE"/>
        </w:rPr>
      </w:pPr>
      <w:hyperlink w:anchor="_Toc100230302" w:history="1">
        <w:r w:rsidRPr="00E71FF4">
          <w:rPr>
            <w:rStyle w:val="Hperlink"/>
            <w:noProof/>
          </w:rPr>
          <w:t>Tabel 17. Valitsussektori võlakoormus 2019–2026 (mln eurot, % SKPst)</w:t>
        </w:r>
        <w:r>
          <w:rPr>
            <w:noProof/>
            <w:webHidden/>
          </w:rPr>
          <w:tab/>
        </w:r>
        <w:r>
          <w:rPr>
            <w:noProof/>
            <w:webHidden/>
          </w:rPr>
          <w:fldChar w:fldCharType="begin"/>
        </w:r>
        <w:r>
          <w:rPr>
            <w:noProof/>
            <w:webHidden/>
          </w:rPr>
          <w:instrText xml:space="preserve"> PAGEREF _Toc100230302 \h </w:instrText>
        </w:r>
        <w:r>
          <w:rPr>
            <w:noProof/>
            <w:webHidden/>
          </w:rPr>
        </w:r>
        <w:r>
          <w:rPr>
            <w:noProof/>
            <w:webHidden/>
          </w:rPr>
          <w:fldChar w:fldCharType="separate"/>
        </w:r>
        <w:r>
          <w:rPr>
            <w:noProof/>
            <w:webHidden/>
          </w:rPr>
          <w:t>34</w:t>
        </w:r>
        <w:r>
          <w:rPr>
            <w:noProof/>
            <w:webHidden/>
          </w:rPr>
          <w:fldChar w:fldCharType="end"/>
        </w:r>
      </w:hyperlink>
    </w:p>
    <w:p w14:paraId="192A77E1" w14:textId="78ADA33D" w:rsidR="003A01AA" w:rsidRDefault="003A01AA">
      <w:pPr>
        <w:pStyle w:val="Illustratsiooniloend"/>
        <w:rPr>
          <w:rFonts w:eastAsiaTheme="minorEastAsia"/>
          <w:noProof/>
          <w:lang w:eastAsia="et-EE"/>
        </w:rPr>
      </w:pPr>
      <w:hyperlink w:anchor="_Toc100230303" w:history="1">
        <w:r w:rsidRPr="00E71FF4">
          <w:rPr>
            <w:rStyle w:val="Hperlink"/>
            <w:noProof/>
          </w:rPr>
          <w:t>Tabel 18. Valitsussektori likviidsed finantsvarad 2019-2026 (mln eurot, % SKPst)</w:t>
        </w:r>
        <w:r>
          <w:rPr>
            <w:noProof/>
            <w:webHidden/>
          </w:rPr>
          <w:tab/>
        </w:r>
        <w:r>
          <w:rPr>
            <w:noProof/>
            <w:webHidden/>
          </w:rPr>
          <w:fldChar w:fldCharType="begin"/>
        </w:r>
        <w:r>
          <w:rPr>
            <w:noProof/>
            <w:webHidden/>
          </w:rPr>
          <w:instrText xml:space="preserve"> PAGEREF _Toc100230303 \h </w:instrText>
        </w:r>
        <w:r>
          <w:rPr>
            <w:noProof/>
            <w:webHidden/>
          </w:rPr>
        </w:r>
        <w:r>
          <w:rPr>
            <w:noProof/>
            <w:webHidden/>
          </w:rPr>
          <w:fldChar w:fldCharType="separate"/>
        </w:r>
        <w:r>
          <w:rPr>
            <w:noProof/>
            <w:webHidden/>
          </w:rPr>
          <w:t>35</w:t>
        </w:r>
        <w:r>
          <w:rPr>
            <w:noProof/>
            <w:webHidden/>
          </w:rPr>
          <w:fldChar w:fldCharType="end"/>
        </w:r>
      </w:hyperlink>
    </w:p>
    <w:p w14:paraId="0D45A52B" w14:textId="795913DF" w:rsidR="003A01AA" w:rsidRDefault="003A01AA">
      <w:pPr>
        <w:pStyle w:val="Illustratsiooniloend"/>
        <w:rPr>
          <w:rFonts w:eastAsiaTheme="minorEastAsia"/>
          <w:noProof/>
          <w:lang w:eastAsia="et-EE"/>
        </w:rPr>
      </w:pPr>
      <w:hyperlink w:anchor="_Toc100230304" w:history="1">
        <w:r w:rsidRPr="00E71FF4">
          <w:rPr>
            <w:rStyle w:val="Hperlink"/>
            <w:noProof/>
          </w:rPr>
          <w:t>Tabel 19. Ühekordsed meetmed ja nende mõju 2020–2026 (mln eurot)</w:t>
        </w:r>
        <w:r>
          <w:rPr>
            <w:noProof/>
            <w:webHidden/>
          </w:rPr>
          <w:tab/>
        </w:r>
        <w:r>
          <w:rPr>
            <w:noProof/>
            <w:webHidden/>
          </w:rPr>
          <w:fldChar w:fldCharType="begin"/>
        </w:r>
        <w:r>
          <w:rPr>
            <w:noProof/>
            <w:webHidden/>
          </w:rPr>
          <w:instrText xml:space="preserve"> PAGEREF _Toc100230304 \h </w:instrText>
        </w:r>
        <w:r>
          <w:rPr>
            <w:noProof/>
            <w:webHidden/>
          </w:rPr>
        </w:r>
        <w:r>
          <w:rPr>
            <w:noProof/>
            <w:webHidden/>
          </w:rPr>
          <w:fldChar w:fldCharType="separate"/>
        </w:r>
        <w:r>
          <w:rPr>
            <w:noProof/>
            <w:webHidden/>
          </w:rPr>
          <w:t>35</w:t>
        </w:r>
        <w:r>
          <w:rPr>
            <w:noProof/>
            <w:webHidden/>
          </w:rPr>
          <w:fldChar w:fldCharType="end"/>
        </w:r>
      </w:hyperlink>
    </w:p>
    <w:p w14:paraId="65260BD7" w14:textId="43DE1F77" w:rsidR="00204A39" w:rsidRPr="005822EA" w:rsidRDefault="00177B6A" w:rsidP="00E66452">
      <w:pPr>
        <w:pStyle w:val="Illustratsiooniloend"/>
        <w:jc w:val="both"/>
        <w:sectPr w:rsidR="00204A39" w:rsidRPr="005822EA" w:rsidSect="00522497">
          <w:endnotePr>
            <w:numFmt w:val="decimal"/>
          </w:endnotePr>
          <w:pgSz w:w="11906" w:h="16838"/>
          <w:pgMar w:top="964" w:right="964" w:bottom="964" w:left="964" w:header="709" w:footer="709" w:gutter="0"/>
          <w:cols w:space="708"/>
          <w:docGrid w:linePitch="360"/>
        </w:sectPr>
      </w:pPr>
      <w:r w:rsidRPr="005822EA">
        <w:fldChar w:fldCharType="end"/>
      </w:r>
    </w:p>
    <w:p w14:paraId="7FA12492" w14:textId="183891A1" w:rsidR="009546D8" w:rsidRPr="005822EA" w:rsidRDefault="009546D8" w:rsidP="00E66452">
      <w:pPr>
        <w:pStyle w:val="Numbritapealkiri"/>
        <w:jc w:val="both"/>
      </w:pPr>
      <w:bookmarkStart w:id="17" w:name="_Toc62631809"/>
      <w:bookmarkStart w:id="18" w:name="_Toc64504530"/>
      <w:bookmarkStart w:id="19" w:name="_Toc100230252"/>
      <w:r w:rsidRPr="005822EA">
        <w:lastRenderedPageBreak/>
        <w:t>KOKKUVÕTE</w:t>
      </w:r>
      <w:bookmarkStart w:id="20" w:name="_Hlk100143772"/>
      <w:bookmarkEnd w:id="17"/>
      <w:bookmarkEnd w:id="18"/>
      <w:bookmarkEnd w:id="19"/>
    </w:p>
    <w:p w14:paraId="7D271145" w14:textId="2C968415" w:rsidR="00BF762C" w:rsidRPr="00E54FF2" w:rsidRDefault="00BF762C" w:rsidP="00E54FF2">
      <w:pPr>
        <w:pStyle w:val="Pealdis"/>
      </w:pPr>
      <w:bookmarkStart w:id="21" w:name="_Ref68303265"/>
      <w:bookmarkStart w:id="22" w:name="_Toc100230286"/>
      <w:r w:rsidRPr="00E54FF2">
        <w:t xml:space="preserve">Tabel </w:t>
      </w:r>
      <w:fldSimple w:instr=" SEQ Tabel \* ARABIC ">
        <w:r w:rsidR="006014DB">
          <w:rPr>
            <w:noProof/>
          </w:rPr>
          <w:t>1</w:t>
        </w:r>
      </w:fldSimple>
      <w:bookmarkEnd w:id="21"/>
      <w:r w:rsidRPr="00E54FF2">
        <w:t>. Prognoosi põhinäitajad</w:t>
      </w:r>
      <w:bookmarkEnd w:id="22"/>
    </w:p>
    <w:tbl>
      <w:tblPr>
        <w:tblStyle w:val="Peentabel1"/>
        <w:tblW w:w="9642" w:type="dxa"/>
        <w:tblLayout w:type="fixed"/>
        <w:tblLook w:val="04A0" w:firstRow="1" w:lastRow="0" w:firstColumn="1" w:lastColumn="0" w:noHBand="0" w:noVBand="1"/>
      </w:tblPr>
      <w:tblGrid>
        <w:gridCol w:w="3684"/>
        <w:gridCol w:w="993"/>
        <w:gridCol w:w="993"/>
        <w:gridCol w:w="993"/>
        <w:gridCol w:w="993"/>
        <w:gridCol w:w="993"/>
        <w:gridCol w:w="993"/>
      </w:tblGrid>
      <w:tr w:rsidR="00BF762C" w:rsidRPr="005822EA" w14:paraId="070C4734" w14:textId="77777777" w:rsidTr="00170159">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684" w:type="dxa"/>
            <w:hideMark/>
          </w:tcPr>
          <w:p w14:paraId="5ECE7369" w14:textId="77777777" w:rsidR="00BF762C" w:rsidRPr="005822EA" w:rsidRDefault="00BF762C" w:rsidP="006C4CD7">
            <w:pPr>
              <w:spacing w:after="0"/>
              <w:jc w:val="center"/>
              <w:rPr>
                <w:rFonts w:cs="Segoe UI Light"/>
                <w:sz w:val="20"/>
                <w:szCs w:val="20"/>
                <w:lang w:eastAsia="et-EE"/>
              </w:rPr>
            </w:pPr>
          </w:p>
        </w:tc>
        <w:tc>
          <w:tcPr>
            <w:tcW w:w="993" w:type="dxa"/>
          </w:tcPr>
          <w:p w14:paraId="312E59FD" w14:textId="382F9010" w:rsidR="00BF762C" w:rsidRPr="005822EA" w:rsidRDefault="00BF762C" w:rsidP="006C4CD7">
            <w:pPr>
              <w:spacing w:after="0"/>
              <w:jc w:val="center"/>
              <w:cnfStyle w:val="100000000000" w:firstRow="1" w:lastRow="0" w:firstColumn="0" w:lastColumn="0" w:oddVBand="0" w:evenVBand="0" w:oddHBand="0" w:evenHBand="0" w:firstRowFirstColumn="0" w:firstRowLastColumn="0" w:lastRowFirstColumn="0" w:lastRowLastColumn="0"/>
              <w:rPr>
                <w:rFonts w:cs="Segoe UI Light"/>
                <w:sz w:val="20"/>
                <w:szCs w:val="20"/>
                <w:lang w:eastAsia="et-EE"/>
              </w:rPr>
            </w:pPr>
            <w:r w:rsidRPr="005822EA">
              <w:rPr>
                <w:rFonts w:cs="Segoe UI Light"/>
                <w:sz w:val="20"/>
                <w:szCs w:val="20"/>
                <w:lang w:eastAsia="et-EE"/>
              </w:rPr>
              <w:t>202</w:t>
            </w:r>
            <w:r w:rsidR="00314AE2">
              <w:rPr>
                <w:rFonts w:cs="Segoe UI Light"/>
                <w:sz w:val="20"/>
                <w:szCs w:val="20"/>
                <w:lang w:eastAsia="et-EE"/>
              </w:rPr>
              <w:t>1</w:t>
            </w:r>
          </w:p>
          <w:p w14:paraId="5A3F0664" w14:textId="77777777" w:rsidR="00BF762C" w:rsidRPr="005822EA" w:rsidRDefault="00BF762C" w:rsidP="006C4CD7">
            <w:pPr>
              <w:spacing w:after="0"/>
              <w:jc w:val="center"/>
              <w:cnfStyle w:val="100000000000" w:firstRow="1" w:lastRow="0" w:firstColumn="0" w:lastColumn="0" w:oddVBand="0" w:evenVBand="0" w:oddHBand="0" w:evenHBand="0" w:firstRowFirstColumn="0" w:firstRowLastColumn="0" w:lastRowFirstColumn="0" w:lastRowLastColumn="0"/>
              <w:rPr>
                <w:rFonts w:cs="Segoe UI Light"/>
                <w:sz w:val="20"/>
                <w:szCs w:val="20"/>
                <w:lang w:eastAsia="et-EE"/>
              </w:rPr>
            </w:pPr>
            <w:r w:rsidRPr="005822EA">
              <w:rPr>
                <w:rFonts w:cs="Segoe UI Light"/>
                <w:sz w:val="20"/>
                <w:szCs w:val="20"/>
                <w:lang w:eastAsia="et-EE"/>
              </w:rPr>
              <w:t>tegelik</w:t>
            </w:r>
          </w:p>
        </w:tc>
        <w:tc>
          <w:tcPr>
            <w:tcW w:w="993" w:type="dxa"/>
            <w:noWrap/>
            <w:hideMark/>
          </w:tcPr>
          <w:p w14:paraId="3EE50F1B" w14:textId="55B8715D" w:rsidR="00BF762C" w:rsidRPr="005822EA" w:rsidRDefault="00BF762C" w:rsidP="006C4CD7">
            <w:pPr>
              <w:spacing w:after="0"/>
              <w:jc w:val="center"/>
              <w:cnfStyle w:val="100000000000" w:firstRow="1" w:lastRow="0" w:firstColumn="0" w:lastColumn="0" w:oddVBand="0" w:evenVBand="0" w:oddHBand="0" w:evenHBand="0" w:firstRowFirstColumn="0" w:firstRowLastColumn="0" w:lastRowFirstColumn="0" w:lastRowLastColumn="0"/>
              <w:rPr>
                <w:rFonts w:cs="Segoe UI Light"/>
                <w:sz w:val="20"/>
                <w:szCs w:val="20"/>
                <w:lang w:eastAsia="et-EE"/>
              </w:rPr>
            </w:pPr>
            <w:r w:rsidRPr="005822EA">
              <w:rPr>
                <w:rFonts w:cs="Segoe UI Light"/>
                <w:sz w:val="20"/>
                <w:szCs w:val="20"/>
                <w:lang w:eastAsia="et-EE"/>
              </w:rPr>
              <w:t>202</w:t>
            </w:r>
            <w:r w:rsidR="00314AE2">
              <w:rPr>
                <w:rFonts w:cs="Segoe UI Light"/>
                <w:sz w:val="20"/>
                <w:szCs w:val="20"/>
                <w:lang w:eastAsia="et-EE"/>
              </w:rPr>
              <w:t>2</w:t>
            </w:r>
            <w:r w:rsidRPr="005822EA">
              <w:rPr>
                <w:rFonts w:cs="Segoe UI Light"/>
                <w:sz w:val="20"/>
                <w:szCs w:val="20"/>
                <w:lang w:eastAsia="et-EE"/>
              </w:rPr>
              <w:t xml:space="preserve"> prognoos</w:t>
            </w:r>
          </w:p>
        </w:tc>
        <w:tc>
          <w:tcPr>
            <w:tcW w:w="993" w:type="dxa"/>
            <w:noWrap/>
            <w:hideMark/>
          </w:tcPr>
          <w:p w14:paraId="74816469" w14:textId="0B2DADA1" w:rsidR="00BF762C" w:rsidRPr="005822EA" w:rsidRDefault="00BF762C" w:rsidP="006C4CD7">
            <w:pPr>
              <w:spacing w:after="0"/>
              <w:jc w:val="center"/>
              <w:cnfStyle w:val="100000000000" w:firstRow="1" w:lastRow="0" w:firstColumn="0" w:lastColumn="0" w:oddVBand="0" w:evenVBand="0" w:oddHBand="0" w:evenHBand="0" w:firstRowFirstColumn="0" w:firstRowLastColumn="0" w:lastRowFirstColumn="0" w:lastRowLastColumn="0"/>
              <w:rPr>
                <w:rFonts w:cs="Segoe UI Light"/>
                <w:sz w:val="20"/>
                <w:szCs w:val="20"/>
                <w:lang w:eastAsia="et-EE"/>
              </w:rPr>
            </w:pPr>
            <w:r w:rsidRPr="005822EA">
              <w:rPr>
                <w:rFonts w:cs="Segoe UI Light"/>
                <w:sz w:val="20"/>
                <w:szCs w:val="20"/>
                <w:lang w:eastAsia="et-EE"/>
              </w:rPr>
              <w:t>202</w:t>
            </w:r>
            <w:r w:rsidR="00314AE2">
              <w:rPr>
                <w:rFonts w:cs="Segoe UI Light"/>
                <w:sz w:val="20"/>
                <w:szCs w:val="20"/>
                <w:lang w:eastAsia="et-EE"/>
              </w:rPr>
              <w:t>3</w:t>
            </w:r>
            <w:r w:rsidRPr="005822EA">
              <w:rPr>
                <w:rFonts w:cs="Segoe UI Light"/>
                <w:sz w:val="20"/>
                <w:szCs w:val="20"/>
                <w:lang w:eastAsia="et-EE"/>
              </w:rPr>
              <w:t xml:space="preserve"> prognoos</w:t>
            </w:r>
          </w:p>
        </w:tc>
        <w:tc>
          <w:tcPr>
            <w:tcW w:w="993" w:type="dxa"/>
            <w:noWrap/>
            <w:hideMark/>
          </w:tcPr>
          <w:p w14:paraId="22F5F5AD" w14:textId="4D49A03B" w:rsidR="00BF762C" w:rsidRPr="005822EA" w:rsidRDefault="00BF762C" w:rsidP="006C4CD7">
            <w:pPr>
              <w:spacing w:after="0"/>
              <w:jc w:val="center"/>
              <w:cnfStyle w:val="100000000000" w:firstRow="1" w:lastRow="0" w:firstColumn="0" w:lastColumn="0" w:oddVBand="0" w:evenVBand="0" w:oddHBand="0" w:evenHBand="0" w:firstRowFirstColumn="0" w:firstRowLastColumn="0" w:lastRowFirstColumn="0" w:lastRowLastColumn="0"/>
              <w:rPr>
                <w:rFonts w:cs="Segoe UI Light"/>
                <w:sz w:val="20"/>
                <w:szCs w:val="20"/>
                <w:lang w:eastAsia="et-EE"/>
              </w:rPr>
            </w:pPr>
            <w:r w:rsidRPr="005822EA">
              <w:rPr>
                <w:rFonts w:cs="Segoe UI Light"/>
                <w:sz w:val="20"/>
                <w:szCs w:val="20"/>
                <w:lang w:eastAsia="et-EE"/>
              </w:rPr>
              <w:t>202</w:t>
            </w:r>
            <w:r w:rsidR="00232855">
              <w:rPr>
                <w:rFonts w:cs="Segoe UI Light"/>
                <w:sz w:val="20"/>
                <w:szCs w:val="20"/>
                <w:lang w:eastAsia="et-EE"/>
              </w:rPr>
              <w:t>4</w:t>
            </w:r>
          </w:p>
          <w:p w14:paraId="50DEA61E" w14:textId="77777777" w:rsidR="00BF762C" w:rsidRPr="005822EA" w:rsidRDefault="00BF762C" w:rsidP="006C4CD7">
            <w:pPr>
              <w:spacing w:after="0"/>
              <w:jc w:val="center"/>
              <w:cnfStyle w:val="100000000000" w:firstRow="1" w:lastRow="0" w:firstColumn="0" w:lastColumn="0" w:oddVBand="0" w:evenVBand="0" w:oddHBand="0" w:evenHBand="0" w:firstRowFirstColumn="0" w:firstRowLastColumn="0" w:lastRowFirstColumn="0" w:lastRowLastColumn="0"/>
              <w:rPr>
                <w:rFonts w:cs="Segoe UI Light"/>
                <w:sz w:val="20"/>
                <w:szCs w:val="20"/>
                <w:lang w:eastAsia="et-EE"/>
              </w:rPr>
            </w:pPr>
            <w:r w:rsidRPr="005822EA">
              <w:rPr>
                <w:rFonts w:cs="Segoe UI Light"/>
                <w:sz w:val="20"/>
                <w:szCs w:val="20"/>
                <w:lang w:eastAsia="et-EE"/>
              </w:rPr>
              <w:t>prognoos</w:t>
            </w:r>
          </w:p>
        </w:tc>
        <w:tc>
          <w:tcPr>
            <w:tcW w:w="993" w:type="dxa"/>
            <w:noWrap/>
            <w:hideMark/>
          </w:tcPr>
          <w:p w14:paraId="0897B68D" w14:textId="160A66A3" w:rsidR="00BF762C" w:rsidRPr="005822EA" w:rsidRDefault="00BF762C" w:rsidP="006C4CD7">
            <w:pPr>
              <w:spacing w:after="0"/>
              <w:jc w:val="center"/>
              <w:cnfStyle w:val="100000000000" w:firstRow="1" w:lastRow="0" w:firstColumn="0" w:lastColumn="0" w:oddVBand="0" w:evenVBand="0" w:oddHBand="0" w:evenHBand="0" w:firstRowFirstColumn="0" w:firstRowLastColumn="0" w:lastRowFirstColumn="0" w:lastRowLastColumn="0"/>
              <w:rPr>
                <w:rFonts w:cs="Segoe UI Light"/>
                <w:sz w:val="20"/>
                <w:szCs w:val="20"/>
                <w:lang w:eastAsia="et-EE"/>
              </w:rPr>
            </w:pPr>
            <w:r w:rsidRPr="005822EA">
              <w:rPr>
                <w:rFonts w:cs="Segoe UI Light"/>
                <w:sz w:val="20"/>
                <w:szCs w:val="20"/>
                <w:lang w:eastAsia="et-EE"/>
              </w:rPr>
              <w:t>202</w:t>
            </w:r>
            <w:r w:rsidR="00232855">
              <w:rPr>
                <w:rFonts w:cs="Segoe UI Light"/>
                <w:sz w:val="20"/>
                <w:szCs w:val="20"/>
                <w:lang w:eastAsia="et-EE"/>
              </w:rPr>
              <w:t>5</w:t>
            </w:r>
            <w:r w:rsidRPr="005822EA">
              <w:rPr>
                <w:rFonts w:cs="Segoe UI Light"/>
                <w:sz w:val="20"/>
                <w:szCs w:val="20"/>
                <w:lang w:eastAsia="et-EE"/>
              </w:rPr>
              <w:t xml:space="preserve"> prognoos</w:t>
            </w:r>
          </w:p>
        </w:tc>
        <w:tc>
          <w:tcPr>
            <w:tcW w:w="993" w:type="dxa"/>
            <w:noWrap/>
            <w:hideMark/>
          </w:tcPr>
          <w:p w14:paraId="3F42F70B" w14:textId="10C203A1" w:rsidR="00BF762C" w:rsidRPr="005822EA" w:rsidRDefault="00BF762C" w:rsidP="006C4CD7">
            <w:pPr>
              <w:spacing w:after="0"/>
              <w:jc w:val="center"/>
              <w:cnfStyle w:val="100000000000" w:firstRow="1" w:lastRow="0" w:firstColumn="0" w:lastColumn="0" w:oddVBand="0" w:evenVBand="0" w:oddHBand="0" w:evenHBand="0" w:firstRowFirstColumn="0" w:firstRowLastColumn="0" w:lastRowFirstColumn="0" w:lastRowLastColumn="0"/>
              <w:rPr>
                <w:rFonts w:cs="Segoe UI Light"/>
                <w:sz w:val="20"/>
                <w:szCs w:val="20"/>
                <w:lang w:eastAsia="et-EE"/>
              </w:rPr>
            </w:pPr>
            <w:r w:rsidRPr="005822EA">
              <w:rPr>
                <w:rFonts w:cs="Segoe UI Light"/>
                <w:sz w:val="20"/>
                <w:szCs w:val="20"/>
                <w:lang w:eastAsia="et-EE"/>
              </w:rPr>
              <w:t>202</w:t>
            </w:r>
            <w:r w:rsidR="00232855">
              <w:rPr>
                <w:rFonts w:cs="Segoe UI Light"/>
                <w:sz w:val="20"/>
                <w:szCs w:val="20"/>
                <w:lang w:eastAsia="et-EE"/>
              </w:rPr>
              <w:t>6</w:t>
            </w:r>
            <w:r w:rsidRPr="005822EA">
              <w:rPr>
                <w:rFonts w:cs="Segoe UI Light"/>
                <w:sz w:val="20"/>
                <w:szCs w:val="20"/>
                <w:lang w:eastAsia="et-EE"/>
              </w:rPr>
              <w:t xml:space="preserve"> prognoos</w:t>
            </w:r>
          </w:p>
        </w:tc>
      </w:tr>
      <w:tr w:rsidR="00314AE2" w:rsidRPr="005822EA" w14:paraId="5172F777" w14:textId="77777777" w:rsidTr="00325CF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684" w:type="dxa"/>
            <w:noWrap/>
            <w:hideMark/>
          </w:tcPr>
          <w:p w14:paraId="7D144012" w14:textId="48A717FE" w:rsidR="00314AE2" w:rsidRPr="005822EA" w:rsidRDefault="00314AE2" w:rsidP="00314AE2">
            <w:pPr>
              <w:spacing w:after="0"/>
              <w:rPr>
                <w:rFonts w:cs="Segoe UI Light"/>
                <w:sz w:val="20"/>
                <w:szCs w:val="20"/>
                <w:lang w:eastAsia="et-EE"/>
              </w:rPr>
            </w:pPr>
            <w:r w:rsidRPr="005822EA">
              <w:rPr>
                <w:rFonts w:cs="Segoe UI Light"/>
                <w:color w:val="000000"/>
                <w:sz w:val="20"/>
                <w:szCs w:val="20"/>
                <w:lang w:eastAsia="et-EE"/>
              </w:rPr>
              <w:t>Reaalse SKP aastakasv %</w:t>
            </w:r>
          </w:p>
        </w:tc>
        <w:tc>
          <w:tcPr>
            <w:tcW w:w="993" w:type="dxa"/>
            <w:vAlign w:val="center"/>
          </w:tcPr>
          <w:p w14:paraId="0CEAFCDC" w14:textId="7E0BD103" w:rsidR="00314AE2" w:rsidRPr="00BB7CAC" w:rsidRDefault="00314AE2" w:rsidP="007A581E">
            <w:pPr>
              <w:pStyle w:val="Tabelitekst"/>
              <w:jc w:val="right"/>
              <w:cnfStyle w:val="000000100000" w:firstRow="0" w:lastRow="0" w:firstColumn="0" w:lastColumn="0" w:oddVBand="0" w:evenVBand="0" w:oddHBand="1" w:evenHBand="0" w:firstRowFirstColumn="0" w:firstRowLastColumn="0" w:lastRowFirstColumn="0" w:lastRowLastColumn="0"/>
              <w:rPr>
                <w:highlight w:val="yellow"/>
              </w:rPr>
            </w:pPr>
            <w:r>
              <w:t>8</w:t>
            </w:r>
            <w:r w:rsidR="00460AE5">
              <w:t>,</w:t>
            </w:r>
            <w:r>
              <w:t>3</w:t>
            </w:r>
          </w:p>
        </w:tc>
        <w:tc>
          <w:tcPr>
            <w:tcW w:w="993" w:type="dxa"/>
            <w:noWrap/>
            <w:vAlign w:val="center"/>
          </w:tcPr>
          <w:p w14:paraId="2DF34363" w14:textId="29DDA674" w:rsidR="00314AE2" w:rsidRPr="00BB7CAC" w:rsidRDefault="00314AE2"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r>
              <w:rPr>
                <w:rFonts w:cs="Calibri"/>
                <w:color w:val="000000"/>
              </w:rPr>
              <w:t>-1</w:t>
            </w:r>
            <w:r w:rsidR="00460AE5">
              <w:rPr>
                <w:rFonts w:cs="Calibri"/>
                <w:color w:val="000000"/>
              </w:rPr>
              <w:t>,</w:t>
            </w:r>
            <w:r>
              <w:rPr>
                <w:rFonts w:cs="Calibri"/>
                <w:color w:val="000000"/>
              </w:rPr>
              <w:t>0</w:t>
            </w:r>
          </w:p>
        </w:tc>
        <w:tc>
          <w:tcPr>
            <w:tcW w:w="993" w:type="dxa"/>
            <w:noWrap/>
            <w:vAlign w:val="center"/>
          </w:tcPr>
          <w:p w14:paraId="686D0108" w14:textId="159447B0" w:rsidR="00314AE2" w:rsidRPr="00BB7CAC" w:rsidRDefault="00314AE2"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r>
              <w:rPr>
                <w:rFonts w:cs="Calibri"/>
                <w:color w:val="000000"/>
              </w:rPr>
              <w:t>1</w:t>
            </w:r>
            <w:r w:rsidR="00460AE5">
              <w:rPr>
                <w:rFonts w:cs="Calibri"/>
                <w:color w:val="000000"/>
              </w:rPr>
              <w:t>,</w:t>
            </w:r>
            <w:r>
              <w:rPr>
                <w:rFonts w:cs="Calibri"/>
                <w:color w:val="000000"/>
              </w:rPr>
              <w:t>2</w:t>
            </w:r>
          </w:p>
        </w:tc>
        <w:tc>
          <w:tcPr>
            <w:tcW w:w="993" w:type="dxa"/>
            <w:noWrap/>
            <w:vAlign w:val="center"/>
          </w:tcPr>
          <w:p w14:paraId="38CD8877" w14:textId="79F9C8AE" w:rsidR="00314AE2" w:rsidRPr="00BB7CAC" w:rsidRDefault="00314AE2"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r>
              <w:rPr>
                <w:rFonts w:cs="Calibri"/>
                <w:color w:val="000000"/>
              </w:rPr>
              <w:t>3</w:t>
            </w:r>
            <w:r w:rsidR="00460AE5">
              <w:rPr>
                <w:rFonts w:cs="Calibri"/>
                <w:color w:val="000000"/>
              </w:rPr>
              <w:t>,</w:t>
            </w:r>
            <w:r>
              <w:rPr>
                <w:rFonts w:cs="Calibri"/>
                <w:color w:val="000000"/>
              </w:rPr>
              <w:t>2</w:t>
            </w:r>
          </w:p>
        </w:tc>
        <w:tc>
          <w:tcPr>
            <w:tcW w:w="993" w:type="dxa"/>
            <w:noWrap/>
            <w:vAlign w:val="center"/>
          </w:tcPr>
          <w:p w14:paraId="3FF92109" w14:textId="2C3F93BD" w:rsidR="00314AE2" w:rsidRPr="00BB7CAC" w:rsidRDefault="00314AE2"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r>
              <w:rPr>
                <w:rFonts w:cs="Calibri"/>
                <w:color w:val="000000"/>
              </w:rPr>
              <w:t>2</w:t>
            </w:r>
            <w:r w:rsidR="00460AE5">
              <w:rPr>
                <w:rFonts w:cs="Calibri"/>
                <w:color w:val="000000"/>
              </w:rPr>
              <w:t>,</w:t>
            </w:r>
            <w:r>
              <w:rPr>
                <w:rFonts w:cs="Calibri"/>
                <w:color w:val="000000"/>
              </w:rPr>
              <w:t>7</w:t>
            </w:r>
          </w:p>
        </w:tc>
        <w:tc>
          <w:tcPr>
            <w:tcW w:w="993" w:type="dxa"/>
            <w:noWrap/>
            <w:vAlign w:val="center"/>
          </w:tcPr>
          <w:p w14:paraId="53752E02" w14:textId="3F745AC7" w:rsidR="00314AE2" w:rsidRPr="00BB7CAC" w:rsidRDefault="00314AE2"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r>
              <w:rPr>
                <w:rFonts w:cs="Calibri"/>
                <w:color w:val="000000"/>
              </w:rPr>
              <w:t>2</w:t>
            </w:r>
            <w:r w:rsidR="00460AE5">
              <w:rPr>
                <w:rFonts w:cs="Calibri"/>
                <w:color w:val="000000"/>
              </w:rPr>
              <w:t>,</w:t>
            </w:r>
            <w:r>
              <w:rPr>
                <w:rFonts w:cs="Calibri"/>
                <w:color w:val="000000"/>
              </w:rPr>
              <w:t>6</w:t>
            </w:r>
          </w:p>
        </w:tc>
      </w:tr>
      <w:tr w:rsidR="00314AE2" w:rsidRPr="005822EA" w14:paraId="79111508" w14:textId="77777777" w:rsidTr="00325CF0">
        <w:trPr>
          <w:trHeight w:val="266"/>
        </w:trPr>
        <w:tc>
          <w:tcPr>
            <w:cnfStyle w:val="001000000000" w:firstRow="0" w:lastRow="0" w:firstColumn="1" w:lastColumn="0" w:oddVBand="0" w:evenVBand="0" w:oddHBand="0" w:evenHBand="0" w:firstRowFirstColumn="0" w:firstRowLastColumn="0" w:lastRowFirstColumn="0" w:lastRowLastColumn="0"/>
            <w:tcW w:w="3684" w:type="dxa"/>
            <w:noWrap/>
            <w:hideMark/>
          </w:tcPr>
          <w:p w14:paraId="428C69EB" w14:textId="1F9721CB" w:rsidR="00314AE2" w:rsidRPr="005822EA" w:rsidRDefault="00314AE2" w:rsidP="00314AE2">
            <w:pPr>
              <w:spacing w:after="0"/>
              <w:rPr>
                <w:rFonts w:cs="Segoe UI Light"/>
                <w:sz w:val="20"/>
                <w:szCs w:val="20"/>
                <w:lang w:eastAsia="et-EE"/>
              </w:rPr>
            </w:pPr>
            <w:r w:rsidRPr="005822EA">
              <w:rPr>
                <w:rFonts w:cs="Segoe UI Light"/>
                <w:color w:val="000000"/>
                <w:sz w:val="20"/>
                <w:szCs w:val="20"/>
                <w:lang w:eastAsia="et-EE"/>
              </w:rPr>
              <w:t>Tööpuudus %</w:t>
            </w:r>
          </w:p>
        </w:tc>
        <w:tc>
          <w:tcPr>
            <w:tcW w:w="993" w:type="dxa"/>
            <w:vAlign w:val="center"/>
          </w:tcPr>
          <w:p w14:paraId="1FC84679" w14:textId="0CD1F84F" w:rsidR="00314AE2" w:rsidRPr="00BB7CAC" w:rsidRDefault="00314AE2"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highlight w:val="yellow"/>
              </w:rPr>
            </w:pPr>
            <w:r>
              <w:rPr>
                <w:rFonts w:cs="Calibri"/>
                <w:color w:val="000000"/>
              </w:rPr>
              <w:t>6</w:t>
            </w:r>
            <w:r w:rsidR="00460AE5">
              <w:rPr>
                <w:rFonts w:cs="Calibri"/>
                <w:color w:val="000000"/>
              </w:rPr>
              <w:t>,</w:t>
            </w:r>
            <w:r>
              <w:rPr>
                <w:rFonts w:cs="Calibri"/>
                <w:color w:val="000000"/>
              </w:rPr>
              <w:t>2</w:t>
            </w:r>
          </w:p>
        </w:tc>
        <w:tc>
          <w:tcPr>
            <w:tcW w:w="993" w:type="dxa"/>
            <w:noWrap/>
            <w:vAlign w:val="center"/>
          </w:tcPr>
          <w:p w14:paraId="61444B39" w14:textId="4CD04783" w:rsidR="00314AE2" w:rsidRPr="00BB7CAC" w:rsidRDefault="00314AE2"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highlight w:val="yellow"/>
              </w:rPr>
            </w:pPr>
            <w:r>
              <w:rPr>
                <w:rFonts w:cs="Calibri"/>
                <w:color w:val="000000"/>
              </w:rPr>
              <w:t>7</w:t>
            </w:r>
            <w:r w:rsidR="00460AE5">
              <w:rPr>
                <w:rFonts w:cs="Calibri"/>
                <w:color w:val="000000"/>
              </w:rPr>
              <w:t>,</w:t>
            </w:r>
            <w:r>
              <w:rPr>
                <w:rFonts w:cs="Calibri"/>
                <w:color w:val="000000"/>
              </w:rPr>
              <w:t>2</w:t>
            </w:r>
          </w:p>
        </w:tc>
        <w:tc>
          <w:tcPr>
            <w:tcW w:w="993" w:type="dxa"/>
            <w:noWrap/>
            <w:vAlign w:val="center"/>
          </w:tcPr>
          <w:p w14:paraId="1406BD8D" w14:textId="288153F9" w:rsidR="00314AE2" w:rsidRPr="00BB7CAC" w:rsidRDefault="00314AE2"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highlight w:val="yellow"/>
              </w:rPr>
            </w:pPr>
            <w:r>
              <w:rPr>
                <w:rFonts w:cs="Calibri"/>
                <w:color w:val="000000"/>
              </w:rPr>
              <w:t>8</w:t>
            </w:r>
            <w:r w:rsidR="00460AE5">
              <w:rPr>
                <w:rFonts w:cs="Calibri"/>
                <w:color w:val="000000"/>
              </w:rPr>
              <w:t>,</w:t>
            </w:r>
            <w:r>
              <w:rPr>
                <w:rFonts w:cs="Calibri"/>
                <w:color w:val="000000"/>
              </w:rPr>
              <w:t>3</w:t>
            </w:r>
          </w:p>
        </w:tc>
        <w:tc>
          <w:tcPr>
            <w:tcW w:w="993" w:type="dxa"/>
            <w:noWrap/>
            <w:vAlign w:val="center"/>
          </w:tcPr>
          <w:p w14:paraId="61A276A7" w14:textId="17B30EDA" w:rsidR="00314AE2" w:rsidRPr="00BB7CAC" w:rsidRDefault="00314AE2"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highlight w:val="yellow"/>
              </w:rPr>
            </w:pPr>
            <w:r>
              <w:rPr>
                <w:rFonts w:cs="Calibri"/>
                <w:color w:val="000000"/>
              </w:rPr>
              <w:t>7</w:t>
            </w:r>
            <w:r w:rsidR="00460AE5">
              <w:rPr>
                <w:rFonts w:cs="Calibri"/>
                <w:color w:val="000000"/>
              </w:rPr>
              <w:t>,</w:t>
            </w:r>
            <w:r>
              <w:rPr>
                <w:rFonts w:cs="Calibri"/>
                <w:color w:val="000000"/>
              </w:rPr>
              <w:t>2</w:t>
            </w:r>
          </w:p>
        </w:tc>
        <w:tc>
          <w:tcPr>
            <w:tcW w:w="993" w:type="dxa"/>
            <w:noWrap/>
            <w:vAlign w:val="center"/>
          </w:tcPr>
          <w:p w14:paraId="30AED9DB" w14:textId="6BEC96C3" w:rsidR="00314AE2" w:rsidRPr="00BB7CAC" w:rsidRDefault="00314AE2"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highlight w:val="yellow"/>
              </w:rPr>
            </w:pPr>
            <w:r>
              <w:rPr>
                <w:rFonts w:cs="Calibri"/>
                <w:color w:val="000000"/>
              </w:rPr>
              <w:t>6</w:t>
            </w:r>
            <w:r w:rsidR="00460AE5">
              <w:rPr>
                <w:rFonts w:cs="Calibri"/>
                <w:color w:val="000000"/>
              </w:rPr>
              <w:t>,</w:t>
            </w:r>
            <w:r>
              <w:rPr>
                <w:rFonts w:cs="Calibri"/>
                <w:color w:val="000000"/>
              </w:rPr>
              <w:t>7</w:t>
            </w:r>
          </w:p>
        </w:tc>
        <w:tc>
          <w:tcPr>
            <w:tcW w:w="993" w:type="dxa"/>
            <w:noWrap/>
            <w:vAlign w:val="center"/>
          </w:tcPr>
          <w:p w14:paraId="3EE883B2" w14:textId="2B466E4A" w:rsidR="00314AE2" w:rsidRPr="00BB7CAC" w:rsidRDefault="00314AE2"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highlight w:val="yellow"/>
              </w:rPr>
            </w:pPr>
            <w:r>
              <w:rPr>
                <w:rFonts w:cs="Calibri"/>
                <w:color w:val="000000"/>
              </w:rPr>
              <w:t>6</w:t>
            </w:r>
            <w:r w:rsidR="00460AE5">
              <w:rPr>
                <w:rFonts w:cs="Calibri"/>
                <w:color w:val="000000"/>
              </w:rPr>
              <w:t>,</w:t>
            </w:r>
            <w:r>
              <w:rPr>
                <w:rFonts w:cs="Calibri"/>
                <w:color w:val="000000"/>
              </w:rPr>
              <w:t>4</w:t>
            </w:r>
          </w:p>
        </w:tc>
      </w:tr>
      <w:tr w:rsidR="00314AE2" w:rsidRPr="005822EA" w14:paraId="20EBCBC2" w14:textId="77777777" w:rsidTr="00325CF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684" w:type="dxa"/>
            <w:noWrap/>
            <w:hideMark/>
          </w:tcPr>
          <w:p w14:paraId="1F60DE27" w14:textId="56599958" w:rsidR="00314AE2" w:rsidRPr="005822EA" w:rsidRDefault="00314AE2" w:rsidP="00314AE2">
            <w:pPr>
              <w:spacing w:after="0"/>
              <w:rPr>
                <w:rFonts w:cs="Segoe UI Light"/>
                <w:sz w:val="20"/>
                <w:szCs w:val="20"/>
                <w:lang w:eastAsia="et-EE"/>
              </w:rPr>
            </w:pPr>
            <w:r w:rsidRPr="005822EA">
              <w:rPr>
                <w:rFonts w:cs="Segoe UI Light"/>
                <w:color w:val="000000"/>
                <w:sz w:val="20"/>
                <w:szCs w:val="20"/>
                <w:lang w:eastAsia="et-EE"/>
              </w:rPr>
              <w:t>Inflatsioon %</w:t>
            </w:r>
          </w:p>
        </w:tc>
        <w:tc>
          <w:tcPr>
            <w:tcW w:w="993" w:type="dxa"/>
            <w:vAlign w:val="center"/>
          </w:tcPr>
          <w:p w14:paraId="62373696" w14:textId="33E0905C" w:rsidR="00314AE2" w:rsidRPr="00BB7CAC" w:rsidRDefault="00314AE2"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r>
              <w:rPr>
                <w:rFonts w:cs="Calibri"/>
                <w:color w:val="000000"/>
              </w:rPr>
              <w:t>4</w:t>
            </w:r>
            <w:r w:rsidR="00460AE5">
              <w:rPr>
                <w:rFonts w:cs="Calibri"/>
                <w:color w:val="000000"/>
              </w:rPr>
              <w:t>,</w:t>
            </w:r>
            <w:r>
              <w:rPr>
                <w:rFonts w:cs="Calibri"/>
                <w:color w:val="000000"/>
              </w:rPr>
              <w:t>6</w:t>
            </w:r>
          </w:p>
        </w:tc>
        <w:tc>
          <w:tcPr>
            <w:tcW w:w="993" w:type="dxa"/>
            <w:noWrap/>
            <w:vAlign w:val="center"/>
          </w:tcPr>
          <w:p w14:paraId="7B361013" w14:textId="56F066AE" w:rsidR="00314AE2" w:rsidRPr="00BB7CAC" w:rsidRDefault="00314AE2"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r>
              <w:rPr>
                <w:rFonts w:cs="Calibri"/>
                <w:color w:val="000000"/>
              </w:rPr>
              <w:t>12</w:t>
            </w:r>
            <w:r w:rsidR="00460AE5">
              <w:rPr>
                <w:rFonts w:cs="Calibri"/>
                <w:color w:val="000000"/>
              </w:rPr>
              <w:t>,</w:t>
            </w:r>
            <w:r>
              <w:rPr>
                <w:rFonts w:cs="Calibri"/>
                <w:color w:val="000000"/>
              </w:rPr>
              <w:t>7</w:t>
            </w:r>
          </w:p>
        </w:tc>
        <w:tc>
          <w:tcPr>
            <w:tcW w:w="993" w:type="dxa"/>
            <w:noWrap/>
            <w:vAlign w:val="center"/>
          </w:tcPr>
          <w:p w14:paraId="6413A535" w14:textId="226D2D26" w:rsidR="00314AE2" w:rsidRPr="00BB7CAC" w:rsidRDefault="00314AE2"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r>
              <w:rPr>
                <w:rFonts w:cs="Calibri"/>
                <w:color w:val="000000"/>
              </w:rPr>
              <w:t>2</w:t>
            </w:r>
            <w:r w:rsidR="00460AE5">
              <w:rPr>
                <w:rFonts w:cs="Calibri"/>
                <w:color w:val="000000"/>
              </w:rPr>
              <w:t>,</w:t>
            </w:r>
            <w:r>
              <w:rPr>
                <w:rFonts w:cs="Calibri"/>
                <w:color w:val="000000"/>
              </w:rPr>
              <w:t>1</w:t>
            </w:r>
          </w:p>
        </w:tc>
        <w:tc>
          <w:tcPr>
            <w:tcW w:w="993" w:type="dxa"/>
            <w:noWrap/>
            <w:vAlign w:val="center"/>
          </w:tcPr>
          <w:p w14:paraId="60B5C947" w14:textId="33538F1A" w:rsidR="00314AE2" w:rsidRPr="00BB7CAC" w:rsidRDefault="00314AE2"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r>
              <w:rPr>
                <w:rFonts w:cs="Calibri"/>
                <w:color w:val="000000"/>
              </w:rPr>
              <w:t>1</w:t>
            </w:r>
            <w:r w:rsidR="00460AE5">
              <w:rPr>
                <w:rFonts w:cs="Calibri"/>
                <w:color w:val="000000"/>
              </w:rPr>
              <w:t>,</w:t>
            </w:r>
            <w:r>
              <w:rPr>
                <w:rFonts w:cs="Calibri"/>
                <w:color w:val="000000"/>
              </w:rPr>
              <w:t>2</w:t>
            </w:r>
          </w:p>
        </w:tc>
        <w:tc>
          <w:tcPr>
            <w:tcW w:w="993" w:type="dxa"/>
            <w:noWrap/>
            <w:vAlign w:val="center"/>
          </w:tcPr>
          <w:p w14:paraId="38F79FA1" w14:textId="0C97D28F" w:rsidR="00314AE2" w:rsidRPr="00BB7CAC" w:rsidRDefault="00314AE2"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r>
              <w:rPr>
                <w:rFonts w:cs="Calibri"/>
                <w:color w:val="000000"/>
              </w:rPr>
              <w:t>1</w:t>
            </w:r>
            <w:r w:rsidR="00460AE5">
              <w:rPr>
                <w:rFonts w:cs="Calibri"/>
                <w:color w:val="000000"/>
              </w:rPr>
              <w:t>,</w:t>
            </w:r>
            <w:r>
              <w:rPr>
                <w:rFonts w:cs="Calibri"/>
                <w:color w:val="000000"/>
              </w:rPr>
              <w:t>7</w:t>
            </w:r>
          </w:p>
        </w:tc>
        <w:tc>
          <w:tcPr>
            <w:tcW w:w="993" w:type="dxa"/>
            <w:noWrap/>
            <w:vAlign w:val="center"/>
          </w:tcPr>
          <w:p w14:paraId="0EB3C07A" w14:textId="06F552D2" w:rsidR="00314AE2" w:rsidRPr="00BB7CAC" w:rsidRDefault="00314AE2"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r>
              <w:rPr>
                <w:rFonts w:cs="Calibri"/>
                <w:color w:val="000000"/>
              </w:rPr>
              <w:t>2</w:t>
            </w:r>
            <w:r w:rsidR="00460AE5">
              <w:rPr>
                <w:rFonts w:cs="Calibri"/>
                <w:color w:val="000000"/>
              </w:rPr>
              <w:t>,</w:t>
            </w:r>
            <w:r>
              <w:rPr>
                <w:rFonts w:cs="Calibri"/>
                <w:color w:val="000000"/>
              </w:rPr>
              <w:t>0</w:t>
            </w:r>
          </w:p>
        </w:tc>
      </w:tr>
      <w:tr w:rsidR="00314AE2" w:rsidRPr="005822EA" w14:paraId="4BF732BC" w14:textId="77777777" w:rsidTr="00325CF0">
        <w:trPr>
          <w:trHeight w:val="266"/>
        </w:trPr>
        <w:tc>
          <w:tcPr>
            <w:cnfStyle w:val="001000000000" w:firstRow="0" w:lastRow="0" w:firstColumn="1" w:lastColumn="0" w:oddVBand="0" w:evenVBand="0" w:oddHBand="0" w:evenHBand="0" w:firstRowFirstColumn="0" w:firstRowLastColumn="0" w:lastRowFirstColumn="0" w:lastRowLastColumn="0"/>
            <w:tcW w:w="3684" w:type="dxa"/>
            <w:noWrap/>
            <w:hideMark/>
          </w:tcPr>
          <w:p w14:paraId="10F4973D" w14:textId="7FB83D01" w:rsidR="00314AE2" w:rsidRPr="005822EA" w:rsidRDefault="00314AE2" w:rsidP="00314AE2">
            <w:pPr>
              <w:spacing w:after="0"/>
              <w:rPr>
                <w:rFonts w:cs="Segoe UI Light"/>
                <w:sz w:val="20"/>
                <w:szCs w:val="20"/>
                <w:lang w:eastAsia="et-EE"/>
              </w:rPr>
            </w:pPr>
            <w:r w:rsidRPr="005822EA">
              <w:rPr>
                <w:rFonts w:cs="Segoe UI Light"/>
                <w:color w:val="000000"/>
                <w:sz w:val="20"/>
                <w:szCs w:val="20"/>
                <w:lang w:eastAsia="et-EE"/>
              </w:rPr>
              <w:t>Palgakasv %</w:t>
            </w:r>
          </w:p>
        </w:tc>
        <w:tc>
          <w:tcPr>
            <w:tcW w:w="993" w:type="dxa"/>
            <w:vAlign w:val="center"/>
          </w:tcPr>
          <w:p w14:paraId="125AB6C3" w14:textId="594D146A" w:rsidR="00314AE2" w:rsidRPr="00BB7CAC" w:rsidRDefault="00314AE2"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highlight w:val="yellow"/>
              </w:rPr>
            </w:pPr>
            <w:r>
              <w:rPr>
                <w:rFonts w:cs="Calibri"/>
                <w:color w:val="000000"/>
              </w:rPr>
              <w:t>6</w:t>
            </w:r>
            <w:r w:rsidR="00460AE5">
              <w:rPr>
                <w:rFonts w:cs="Calibri"/>
                <w:color w:val="000000"/>
              </w:rPr>
              <w:t>,</w:t>
            </w:r>
            <w:r>
              <w:rPr>
                <w:rFonts w:cs="Calibri"/>
                <w:color w:val="000000"/>
              </w:rPr>
              <w:t>8</w:t>
            </w:r>
          </w:p>
        </w:tc>
        <w:tc>
          <w:tcPr>
            <w:tcW w:w="993" w:type="dxa"/>
            <w:noWrap/>
            <w:vAlign w:val="center"/>
          </w:tcPr>
          <w:p w14:paraId="3D2201C6" w14:textId="1ACD4C99" w:rsidR="00314AE2" w:rsidRPr="00BB7CAC" w:rsidRDefault="00314AE2"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highlight w:val="yellow"/>
              </w:rPr>
            </w:pPr>
            <w:r>
              <w:rPr>
                <w:rFonts w:cs="Calibri"/>
                <w:color w:val="000000"/>
              </w:rPr>
              <w:t>7</w:t>
            </w:r>
            <w:r w:rsidR="00460AE5">
              <w:rPr>
                <w:rFonts w:cs="Calibri"/>
                <w:color w:val="000000"/>
              </w:rPr>
              <w:t>,</w:t>
            </w:r>
            <w:r>
              <w:rPr>
                <w:rFonts w:cs="Calibri"/>
                <w:color w:val="000000"/>
              </w:rPr>
              <w:t>0</w:t>
            </w:r>
          </w:p>
        </w:tc>
        <w:tc>
          <w:tcPr>
            <w:tcW w:w="993" w:type="dxa"/>
            <w:noWrap/>
            <w:vAlign w:val="center"/>
          </w:tcPr>
          <w:p w14:paraId="5CAAE5D7" w14:textId="60C6E10D" w:rsidR="00314AE2" w:rsidRPr="00BB7CAC" w:rsidRDefault="00314AE2"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highlight w:val="yellow"/>
              </w:rPr>
            </w:pPr>
            <w:r>
              <w:rPr>
                <w:rFonts w:cs="Calibri"/>
                <w:color w:val="000000"/>
              </w:rPr>
              <w:t>5</w:t>
            </w:r>
            <w:r w:rsidR="00460AE5">
              <w:rPr>
                <w:rFonts w:cs="Calibri"/>
                <w:color w:val="000000"/>
              </w:rPr>
              <w:t>,</w:t>
            </w:r>
            <w:r>
              <w:rPr>
                <w:rFonts w:cs="Calibri"/>
                <w:color w:val="000000"/>
              </w:rPr>
              <w:t>6</w:t>
            </w:r>
          </w:p>
        </w:tc>
        <w:tc>
          <w:tcPr>
            <w:tcW w:w="993" w:type="dxa"/>
            <w:noWrap/>
            <w:vAlign w:val="center"/>
          </w:tcPr>
          <w:p w14:paraId="23404BF0" w14:textId="53081439" w:rsidR="00314AE2" w:rsidRPr="00BB7CAC" w:rsidRDefault="00314AE2"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highlight w:val="yellow"/>
              </w:rPr>
            </w:pPr>
            <w:r>
              <w:rPr>
                <w:rFonts w:cs="Calibri"/>
                <w:color w:val="000000"/>
              </w:rPr>
              <w:t>3</w:t>
            </w:r>
            <w:r w:rsidR="00460AE5">
              <w:rPr>
                <w:rFonts w:cs="Calibri"/>
                <w:color w:val="000000"/>
              </w:rPr>
              <w:t>,</w:t>
            </w:r>
            <w:r>
              <w:rPr>
                <w:rFonts w:cs="Calibri"/>
                <w:color w:val="000000"/>
              </w:rPr>
              <w:t>6</w:t>
            </w:r>
          </w:p>
        </w:tc>
        <w:tc>
          <w:tcPr>
            <w:tcW w:w="993" w:type="dxa"/>
            <w:noWrap/>
            <w:vAlign w:val="center"/>
          </w:tcPr>
          <w:p w14:paraId="74AE0010" w14:textId="32169EB2" w:rsidR="00314AE2" w:rsidRPr="00BB7CAC" w:rsidRDefault="00314AE2"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highlight w:val="yellow"/>
              </w:rPr>
            </w:pPr>
            <w:r>
              <w:rPr>
                <w:rFonts w:cs="Calibri"/>
                <w:color w:val="000000"/>
              </w:rPr>
              <w:t>4</w:t>
            </w:r>
            <w:r w:rsidR="00460AE5">
              <w:rPr>
                <w:rFonts w:cs="Calibri"/>
                <w:color w:val="000000"/>
              </w:rPr>
              <w:t>,</w:t>
            </w:r>
            <w:r>
              <w:rPr>
                <w:rFonts w:cs="Calibri"/>
                <w:color w:val="000000"/>
              </w:rPr>
              <w:t>5</w:t>
            </w:r>
          </w:p>
        </w:tc>
        <w:tc>
          <w:tcPr>
            <w:tcW w:w="993" w:type="dxa"/>
            <w:noWrap/>
            <w:vAlign w:val="center"/>
          </w:tcPr>
          <w:p w14:paraId="524569C3" w14:textId="4B65EA60" w:rsidR="00314AE2" w:rsidRPr="00BB7CAC" w:rsidRDefault="00314AE2"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highlight w:val="yellow"/>
              </w:rPr>
            </w:pPr>
            <w:r>
              <w:rPr>
                <w:rFonts w:cs="Calibri"/>
                <w:color w:val="000000"/>
              </w:rPr>
              <w:t>5</w:t>
            </w:r>
            <w:r w:rsidR="00460AE5">
              <w:rPr>
                <w:rFonts w:cs="Calibri"/>
                <w:color w:val="000000"/>
              </w:rPr>
              <w:t>,</w:t>
            </w:r>
            <w:r>
              <w:rPr>
                <w:rFonts w:cs="Calibri"/>
                <w:color w:val="000000"/>
              </w:rPr>
              <w:t>0</w:t>
            </w:r>
          </w:p>
        </w:tc>
      </w:tr>
      <w:tr w:rsidR="00DF7023" w:rsidRPr="005822EA" w14:paraId="0A4E10B2" w14:textId="77777777" w:rsidTr="00DF7023">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684" w:type="dxa"/>
            <w:noWrap/>
          </w:tcPr>
          <w:p w14:paraId="5CE2765F" w14:textId="77777777" w:rsidR="00DF7023" w:rsidRPr="005822EA" w:rsidRDefault="00DF7023" w:rsidP="00DF7023">
            <w:pPr>
              <w:tabs>
                <w:tab w:val="left" w:pos="291"/>
              </w:tabs>
              <w:spacing w:after="0"/>
              <w:rPr>
                <w:rFonts w:cs="Segoe UI Light"/>
                <w:color w:val="000000"/>
                <w:sz w:val="20"/>
                <w:szCs w:val="20"/>
                <w:lang w:eastAsia="et-EE"/>
              </w:rPr>
            </w:pPr>
            <w:r>
              <w:rPr>
                <w:rFonts w:cs="Segoe UI Light"/>
                <w:color w:val="000000"/>
                <w:sz w:val="20"/>
                <w:szCs w:val="20"/>
                <w:lang w:eastAsia="et-EE"/>
              </w:rPr>
              <w:t>Valitsussektori:</w:t>
            </w:r>
          </w:p>
        </w:tc>
        <w:tc>
          <w:tcPr>
            <w:tcW w:w="993" w:type="dxa"/>
            <w:vAlign w:val="bottom"/>
          </w:tcPr>
          <w:p w14:paraId="76E40F53" w14:textId="77777777" w:rsidR="00DF7023" w:rsidRPr="00BB7CAC" w:rsidRDefault="00DF7023"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p>
        </w:tc>
        <w:tc>
          <w:tcPr>
            <w:tcW w:w="993" w:type="dxa"/>
            <w:noWrap/>
            <w:vAlign w:val="bottom"/>
          </w:tcPr>
          <w:p w14:paraId="262CCF47" w14:textId="77777777" w:rsidR="00DF7023" w:rsidRPr="00BB7CAC" w:rsidRDefault="00DF7023"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p>
        </w:tc>
        <w:tc>
          <w:tcPr>
            <w:tcW w:w="993" w:type="dxa"/>
            <w:noWrap/>
            <w:vAlign w:val="bottom"/>
          </w:tcPr>
          <w:p w14:paraId="20188E78" w14:textId="77777777" w:rsidR="00DF7023" w:rsidRPr="00BB7CAC" w:rsidRDefault="00DF7023"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p>
        </w:tc>
        <w:tc>
          <w:tcPr>
            <w:tcW w:w="993" w:type="dxa"/>
            <w:noWrap/>
            <w:vAlign w:val="bottom"/>
          </w:tcPr>
          <w:p w14:paraId="691E437E" w14:textId="77777777" w:rsidR="00DF7023" w:rsidRPr="00BB7CAC" w:rsidRDefault="00DF7023"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p>
        </w:tc>
        <w:tc>
          <w:tcPr>
            <w:tcW w:w="993" w:type="dxa"/>
            <w:noWrap/>
            <w:vAlign w:val="bottom"/>
          </w:tcPr>
          <w:p w14:paraId="491037ED" w14:textId="77777777" w:rsidR="00DF7023" w:rsidRPr="00BB7CAC" w:rsidRDefault="00DF7023"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p>
        </w:tc>
        <w:tc>
          <w:tcPr>
            <w:tcW w:w="993" w:type="dxa"/>
            <w:noWrap/>
            <w:vAlign w:val="bottom"/>
          </w:tcPr>
          <w:p w14:paraId="0E3E624E" w14:textId="77777777" w:rsidR="00DF7023" w:rsidRPr="00BB7CAC" w:rsidRDefault="00DF7023"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p>
        </w:tc>
      </w:tr>
      <w:tr w:rsidR="00B70BAA" w:rsidRPr="005C120E" w14:paraId="658E8872" w14:textId="77777777" w:rsidTr="00986F10">
        <w:trPr>
          <w:trHeight w:val="266"/>
        </w:trPr>
        <w:tc>
          <w:tcPr>
            <w:cnfStyle w:val="001000000000" w:firstRow="0" w:lastRow="0" w:firstColumn="1" w:lastColumn="0" w:oddVBand="0" w:evenVBand="0" w:oddHBand="0" w:evenHBand="0" w:firstRowFirstColumn="0" w:firstRowLastColumn="0" w:lastRowFirstColumn="0" w:lastRowLastColumn="0"/>
            <w:tcW w:w="3684" w:type="dxa"/>
            <w:noWrap/>
            <w:hideMark/>
          </w:tcPr>
          <w:p w14:paraId="6562286B" w14:textId="4A6793A2" w:rsidR="00B70BAA" w:rsidRPr="005C120E" w:rsidRDefault="00B70BAA" w:rsidP="00B70BAA">
            <w:pPr>
              <w:tabs>
                <w:tab w:val="left" w:pos="291"/>
              </w:tabs>
              <w:spacing w:after="0"/>
              <w:jc w:val="right"/>
              <w:rPr>
                <w:rFonts w:cs="Segoe UI Light"/>
                <w:color w:val="000000"/>
                <w:sz w:val="20"/>
                <w:szCs w:val="20"/>
                <w:lang w:eastAsia="et-EE"/>
              </w:rPr>
            </w:pPr>
            <w:r w:rsidRPr="005C120E">
              <w:rPr>
                <w:rFonts w:cs="Segoe UI Light"/>
                <w:color w:val="000000"/>
                <w:sz w:val="20"/>
                <w:szCs w:val="20"/>
                <w:lang w:eastAsia="et-EE"/>
              </w:rPr>
              <w:t>tulud kokku (mln eurot)</w:t>
            </w:r>
          </w:p>
        </w:tc>
        <w:tc>
          <w:tcPr>
            <w:tcW w:w="993" w:type="dxa"/>
            <w:vAlign w:val="center"/>
          </w:tcPr>
          <w:p w14:paraId="01B56DB6" w14:textId="122F721A" w:rsidR="00B70BAA" w:rsidRPr="00B70BAA" w:rsidRDefault="00B70BAA" w:rsidP="00B70BAA">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B70BAA">
              <w:rPr>
                <w:rFonts w:cs="Calibri"/>
                <w:color w:val="000000"/>
              </w:rPr>
              <w:t>12 259</w:t>
            </w:r>
          </w:p>
        </w:tc>
        <w:tc>
          <w:tcPr>
            <w:tcW w:w="993" w:type="dxa"/>
            <w:noWrap/>
            <w:vAlign w:val="center"/>
          </w:tcPr>
          <w:p w14:paraId="283E949E" w14:textId="45FAC955" w:rsidR="00B70BAA" w:rsidRPr="00B70BAA" w:rsidRDefault="00B70BAA" w:rsidP="00B70BAA">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B70BAA">
              <w:rPr>
                <w:rFonts w:cs="Calibri"/>
                <w:color w:val="000000"/>
              </w:rPr>
              <w:t>12 915</w:t>
            </w:r>
          </w:p>
        </w:tc>
        <w:tc>
          <w:tcPr>
            <w:tcW w:w="993" w:type="dxa"/>
            <w:noWrap/>
            <w:vAlign w:val="center"/>
          </w:tcPr>
          <w:p w14:paraId="03D83F68" w14:textId="51045C7F" w:rsidR="00B70BAA" w:rsidRPr="00B70BAA" w:rsidRDefault="00B70BAA" w:rsidP="00B70BAA">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B70BAA">
              <w:rPr>
                <w:rFonts w:cs="Calibri"/>
                <w:color w:val="000000"/>
              </w:rPr>
              <w:t>13 543</w:t>
            </w:r>
          </w:p>
        </w:tc>
        <w:tc>
          <w:tcPr>
            <w:tcW w:w="993" w:type="dxa"/>
            <w:noWrap/>
            <w:vAlign w:val="center"/>
          </w:tcPr>
          <w:p w14:paraId="1A052045" w14:textId="28C1CA4A" w:rsidR="00B70BAA" w:rsidRPr="00B70BAA" w:rsidRDefault="00B70BAA" w:rsidP="00B70BAA">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B70BAA">
              <w:rPr>
                <w:rFonts w:cs="Calibri"/>
                <w:color w:val="000000"/>
              </w:rPr>
              <w:t>14 092</w:t>
            </w:r>
          </w:p>
        </w:tc>
        <w:tc>
          <w:tcPr>
            <w:tcW w:w="993" w:type="dxa"/>
            <w:noWrap/>
            <w:vAlign w:val="center"/>
          </w:tcPr>
          <w:p w14:paraId="51B3C657" w14:textId="44B3C3B2" w:rsidR="00B70BAA" w:rsidRPr="00B70BAA" w:rsidRDefault="00B70BAA" w:rsidP="00B70BAA">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B70BAA">
              <w:rPr>
                <w:rFonts w:cs="Calibri"/>
                <w:color w:val="000000"/>
              </w:rPr>
              <w:t>14 481</w:t>
            </w:r>
          </w:p>
        </w:tc>
        <w:tc>
          <w:tcPr>
            <w:tcW w:w="993" w:type="dxa"/>
            <w:noWrap/>
            <w:vAlign w:val="center"/>
          </w:tcPr>
          <w:p w14:paraId="78CCD82F" w14:textId="7AC2F7CF" w:rsidR="00B70BAA" w:rsidRPr="00B70BAA" w:rsidRDefault="00B70BAA" w:rsidP="00B70BAA">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B70BAA">
              <w:rPr>
                <w:rFonts w:cs="Calibri"/>
                <w:color w:val="000000"/>
              </w:rPr>
              <w:t>14 998</w:t>
            </w:r>
          </w:p>
        </w:tc>
      </w:tr>
      <w:tr w:rsidR="00B70BAA" w:rsidRPr="005C120E" w14:paraId="59282C20" w14:textId="77777777" w:rsidTr="00986F1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684" w:type="dxa"/>
            <w:noWrap/>
            <w:hideMark/>
          </w:tcPr>
          <w:p w14:paraId="2815638B" w14:textId="0B580CC4" w:rsidR="00B70BAA" w:rsidRPr="005C120E" w:rsidRDefault="00B70BAA" w:rsidP="00B70BAA">
            <w:pPr>
              <w:tabs>
                <w:tab w:val="left" w:pos="291"/>
              </w:tabs>
              <w:spacing w:after="0"/>
              <w:jc w:val="right"/>
              <w:rPr>
                <w:rFonts w:cs="Segoe UI Light"/>
                <w:color w:val="000000"/>
                <w:sz w:val="20"/>
                <w:szCs w:val="20"/>
                <w:lang w:eastAsia="et-EE"/>
              </w:rPr>
            </w:pPr>
            <w:r w:rsidRPr="005C120E">
              <w:rPr>
                <w:rFonts w:cs="Segoe UI Light"/>
                <w:color w:val="000000"/>
                <w:sz w:val="20"/>
                <w:szCs w:val="20"/>
                <w:lang w:eastAsia="et-EE"/>
              </w:rPr>
              <w:t>kulud kokku (mln eurot)</w:t>
            </w:r>
          </w:p>
        </w:tc>
        <w:tc>
          <w:tcPr>
            <w:tcW w:w="993" w:type="dxa"/>
            <w:vAlign w:val="center"/>
          </w:tcPr>
          <w:p w14:paraId="57989513" w14:textId="1E7DCA38" w:rsidR="00B70BAA" w:rsidRPr="00B70BAA" w:rsidRDefault="00B70BAA" w:rsidP="00B70BAA">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B70BAA">
              <w:rPr>
                <w:rFonts w:cs="Calibri"/>
                <w:color w:val="000000"/>
              </w:rPr>
              <w:t>12 981</w:t>
            </w:r>
          </w:p>
        </w:tc>
        <w:tc>
          <w:tcPr>
            <w:tcW w:w="993" w:type="dxa"/>
            <w:noWrap/>
            <w:vAlign w:val="center"/>
          </w:tcPr>
          <w:p w14:paraId="139BE1FB" w14:textId="1C1BF150" w:rsidR="00B70BAA" w:rsidRPr="00B70BAA" w:rsidRDefault="00B70BAA" w:rsidP="00B70BAA">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B70BAA">
              <w:rPr>
                <w:rFonts w:cs="Calibri"/>
                <w:color w:val="000000"/>
              </w:rPr>
              <w:t>14 163</w:t>
            </w:r>
          </w:p>
        </w:tc>
        <w:tc>
          <w:tcPr>
            <w:tcW w:w="993" w:type="dxa"/>
            <w:noWrap/>
            <w:vAlign w:val="center"/>
          </w:tcPr>
          <w:p w14:paraId="5E39191F" w14:textId="1F7B4448" w:rsidR="00B70BAA" w:rsidRPr="00B70BAA" w:rsidRDefault="00B70BAA" w:rsidP="00B70BAA">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B70BAA">
              <w:rPr>
                <w:rFonts w:cs="Calibri"/>
                <w:color w:val="000000"/>
              </w:rPr>
              <w:t>14 810</w:t>
            </w:r>
          </w:p>
        </w:tc>
        <w:tc>
          <w:tcPr>
            <w:tcW w:w="993" w:type="dxa"/>
            <w:noWrap/>
            <w:vAlign w:val="center"/>
          </w:tcPr>
          <w:p w14:paraId="4F85AA47" w14:textId="658B1643" w:rsidR="00B70BAA" w:rsidRPr="00B70BAA" w:rsidRDefault="00B70BAA" w:rsidP="00B70BAA">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B70BAA">
              <w:rPr>
                <w:rFonts w:cs="Calibri"/>
                <w:color w:val="000000"/>
              </w:rPr>
              <w:t>15 345</w:t>
            </w:r>
          </w:p>
        </w:tc>
        <w:tc>
          <w:tcPr>
            <w:tcW w:w="993" w:type="dxa"/>
            <w:noWrap/>
            <w:vAlign w:val="center"/>
          </w:tcPr>
          <w:p w14:paraId="55E254D6" w14:textId="2D7ABBB1" w:rsidR="00B70BAA" w:rsidRPr="00B70BAA" w:rsidRDefault="00B70BAA" w:rsidP="00B70BAA">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B70BAA">
              <w:rPr>
                <w:rFonts w:cs="Calibri"/>
                <w:color w:val="000000"/>
              </w:rPr>
              <w:t>15 530</w:t>
            </w:r>
          </w:p>
        </w:tc>
        <w:tc>
          <w:tcPr>
            <w:tcW w:w="993" w:type="dxa"/>
            <w:noWrap/>
            <w:vAlign w:val="center"/>
          </w:tcPr>
          <w:p w14:paraId="66DD76EC" w14:textId="25E6B6F1" w:rsidR="00B70BAA" w:rsidRPr="00B70BAA" w:rsidRDefault="00B70BAA" w:rsidP="00B70BAA">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B70BAA">
              <w:rPr>
                <w:rFonts w:cs="Calibri"/>
                <w:color w:val="000000"/>
              </w:rPr>
              <w:t>15 846</w:t>
            </w:r>
          </w:p>
        </w:tc>
      </w:tr>
      <w:tr w:rsidR="005936CD" w:rsidRPr="005C120E" w14:paraId="5C2EB53D" w14:textId="77777777" w:rsidTr="00B70BAA">
        <w:trPr>
          <w:trHeight w:val="266"/>
        </w:trPr>
        <w:tc>
          <w:tcPr>
            <w:cnfStyle w:val="001000000000" w:firstRow="0" w:lastRow="0" w:firstColumn="1" w:lastColumn="0" w:oddVBand="0" w:evenVBand="0" w:oddHBand="0" w:evenHBand="0" w:firstRowFirstColumn="0" w:firstRowLastColumn="0" w:lastRowFirstColumn="0" w:lastRowLastColumn="0"/>
            <w:tcW w:w="3684" w:type="dxa"/>
            <w:noWrap/>
            <w:hideMark/>
          </w:tcPr>
          <w:p w14:paraId="7531B325" w14:textId="017ECF3A" w:rsidR="005936CD" w:rsidRPr="005C120E" w:rsidRDefault="005936CD" w:rsidP="005936CD">
            <w:pPr>
              <w:tabs>
                <w:tab w:val="left" w:pos="291"/>
              </w:tabs>
              <w:spacing w:after="0"/>
              <w:jc w:val="right"/>
              <w:rPr>
                <w:rFonts w:cs="Segoe UI Light"/>
                <w:color w:val="000000"/>
                <w:sz w:val="20"/>
                <w:szCs w:val="20"/>
                <w:lang w:eastAsia="et-EE"/>
              </w:rPr>
            </w:pPr>
            <w:r w:rsidRPr="005C120E">
              <w:rPr>
                <w:rFonts w:cs="Segoe UI Light"/>
                <w:color w:val="000000"/>
                <w:sz w:val="20"/>
                <w:szCs w:val="20"/>
                <w:lang w:eastAsia="et-EE"/>
              </w:rPr>
              <w:t>ülejääk/puudujääk (mln eurot)</w:t>
            </w:r>
          </w:p>
        </w:tc>
        <w:tc>
          <w:tcPr>
            <w:tcW w:w="993" w:type="dxa"/>
            <w:vAlign w:val="bottom"/>
          </w:tcPr>
          <w:p w14:paraId="0EB28562" w14:textId="16A96BD2" w:rsidR="005936CD" w:rsidRPr="00460AE5" w:rsidRDefault="005936CD"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F83B91">
              <w:rPr>
                <w:rFonts w:cs="Calibri"/>
                <w:color w:val="000000"/>
              </w:rPr>
              <w:t>-721</w:t>
            </w:r>
          </w:p>
        </w:tc>
        <w:tc>
          <w:tcPr>
            <w:tcW w:w="993" w:type="dxa"/>
            <w:noWrap/>
            <w:vAlign w:val="bottom"/>
          </w:tcPr>
          <w:p w14:paraId="71B3CCA7" w14:textId="7C9A1DB8" w:rsidR="005936CD" w:rsidRPr="00460AE5" w:rsidRDefault="005936CD"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F83B91">
              <w:rPr>
                <w:rFonts w:cs="Calibri"/>
                <w:color w:val="000000"/>
              </w:rPr>
              <w:t>-1 248</w:t>
            </w:r>
          </w:p>
        </w:tc>
        <w:tc>
          <w:tcPr>
            <w:tcW w:w="993" w:type="dxa"/>
            <w:noWrap/>
            <w:vAlign w:val="bottom"/>
          </w:tcPr>
          <w:p w14:paraId="19BF0A85" w14:textId="3F731228" w:rsidR="005936CD" w:rsidRPr="00460AE5" w:rsidRDefault="005936CD"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F83B91">
              <w:rPr>
                <w:rFonts w:cs="Calibri"/>
                <w:color w:val="000000"/>
              </w:rPr>
              <w:t>-1 268</w:t>
            </w:r>
          </w:p>
        </w:tc>
        <w:tc>
          <w:tcPr>
            <w:tcW w:w="993" w:type="dxa"/>
            <w:noWrap/>
            <w:vAlign w:val="bottom"/>
          </w:tcPr>
          <w:p w14:paraId="510360DD" w14:textId="3C8C5B2D" w:rsidR="005936CD" w:rsidRPr="00460AE5" w:rsidRDefault="005936CD"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F83B91">
              <w:rPr>
                <w:rFonts w:cs="Calibri"/>
                <w:color w:val="000000"/>
              </w:rPr>
              <w:t>-1 254</w:t>
            </w:r>
          </w:p>
        </w:tc>
        <w:tc>
          <w:tcPr>
            <w:tcW w:w="993" w:type="dxa"/>
            <w:noWrap/>
            <w:vAlign w:val="bottom"/>
          </w:tcPr>
          <w:p w14:paraId="09A7E23E" w14:textId="6F92B499" w:rsidR="005936CD" w:rsidRPr="00460AE5" w:rsidRDefault="005936CD"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F83B91">
              <w:rPr>
                <w:rFonts w:cs="Calibri"/>
                <w:color w:val="000000"/>
              </w:rPr>
              <w:t>-1 049</w:t>
            </w:r>
          </w:p>
        </w:tc>
        <w:tc>
          <w:tcPr>
            <w:tcW w:w="993" w:type="dxa"/>
            <w:noWrap/>
            <w:vAlign w:val="bottom"/>
          </w:tcPr>
          <w:p w14:paraId="089F23D7" w14:textId="6A2736F5" w:rsidR="005936CD" w:rsidRPr="00460AE5" w:rsidRDefault="005936CD"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F83B91">
              <w:rPr>
                <w:rFonts w:cs="Calibri"/>
                <w:color w:val="000000"/>
              </w:rPr>
              <w:t>-848</w:t>
            </w:r>
          </w:p>
        </w:tc>
      </w:tr>
      <w:tr w:rsidR="003D57CA" w:rsidRPr="005C120E" w14:paraId="64B445CA" w14:textId="77777777" w:rsidTr="001D2FB3">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684" w:type="dxa"/>
            <w:noWrap/>
          </w:tcPr>
          <w:p w14:paraId="312798A6" w14:textId="3B2A7CDF" w:rsidR="003D57CA" w:rsidRPr="005C120E" w:rsidRDefault="003D57CA" w:rsidP="003D57CA">
            <w:pPr>
              <w:tabs>
                <w:tab w:val="left" w:pos="291"/>
              </w:tabs>
              <w:spacing w:after="0"/>
              <w:jc w:val="right"/>
              <w:rPr>
                <w:rFonts w:cs="Segoe UI Light"/>
                <w:color w:val="000000"/>
                <w:sz w:val="20"/>
                <w:szCs w:val="20"/>
                <w:lang w:eastAsia="et-EE"/>
              </w:rPr>
            </w:pPr>
            <w:r w:rsidRPr="005C120E">
              <w:rPr>
                <w:rFonts w:cs="Segoe UI Light"/>
                <w:color w:val="000000"/>
                <w:sz w:val="20"/>
                <w:szCs w:val="20"/>
                <w:lang w:eastAsia="et-EE"/>
              </w:rPr>
              <w:t>nominaalne eelarvepositsioon (% SKP)</w:t>
            </w:r>
          </w:p>
        </w:tc>
        <w:tc>
          <w:tcPr>
            <w:tcW w:w="993" w:type="dxa"/>
          </w:tcPr>
          <w:p w14:paraId="5717D6F2" w14:textId="7196F3B3" w:rsidR="003D57CA" w:rsidRPr="00460AE5" w:rsidRDefault="003D57CA"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460AE5">
              <w:rPr>
                <w:rFonts w:cs="Calibri"/>
                <w:color w:val="000000"/>
              </w:rPr>
              <w:t>-</w:t>
            </w:r>
            <w:r w:rsidR="005936CD" w:rsidRPr="00460AE5">
              <w:rPr>
                <w:rFonts w:cs="Calibri"/>
                <w:color w:val="000000"/>
              </w:rPr>
              <w:t>2,4</w:t>
            </w:r>
          </w:p>
        </w:tc>
        <w:tc>
          <w:tcPr>
            <w:tcW w:w="993" w:type="dxa"/>
            <w:noWrap/>
          </w:tcPr>
          <w:p w14:paraId="489DD60F" w14:textId="47101DD3" w:rsidR="003D57CA" w:rsidRPr="00460AE5" w:rsidRDefault="003D57CA"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460AE5">
              <w:rPr>
                <w:rFonts w:cs="Calibri"/>
                <w:color w:val="000000"/>
              </w:rPr>
              <w:t>-3,</w:t>
            </w:r>
            <w:r w:rsidR="005936CD" w:rsidRPr="00460AE5">
              <w:rPr>
                <w:rFonts w:cs="Calibri"/>
                <w:color w:val="000000"/>
              </w:rPr>
              <w:t>8</w:t>
            </w:r>
          </w:p>
        </w:tc>
        <w:tc>
          <w:tcPr>
            <w:tcW w:w="993" w:type="dxa"/>
            <w:noWrap/>
          </w:tcPr>
          <w:p w14:paraId="6A29D69D" w14:textId="505514F9" w:rsidR="003D57CA" w:rsidRPr="00460AE5" w:rsidRDefault="003D57CA"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460AE5">
              <w:rPr>
                <w:rFonts w:cs="Calibri"/>
                <w:color w:val="000000"/>
              </w:rPr>
              <w:t>-</w:t>
            </w:r>
            <w:r w:rsidR="005936CD" w:rsidRPr="00460AE5">
              <w:rPr>
                <w:rFonts w:cs="Calibri"/>
                <w:color w:val="000000"/>
              </w:rPr>
              <w:t>3,7</w:t>
            </w:r>
          </w:p>
        </w:tc>
        <w:tc>
          <w:tcPr>
            <w:tcW w:w="993" w:type="dxa"/>
            <w:noWrap/>
          </w:tcPr>
          <w:p w14:paraId="621B24B8" w14:textId="6B126ED1" w:rsidR="003D57CA" w:rsidRPr="00460AE5" w:rsidRDefault="003D57CA"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460AE5">
              <w:rPr>
                <w:rFonts w:cs="Calibri"/>
                <w:color w:val="000000"/>
              </w:rPr>
              <w:t>-</w:t>
            </w:r>
            <w:r w:rsidR="005936CD" w:rsidRPr="00460AE5">
              <w:rPr>
                <w:rFonts w:cs="Calibri"/>
                <w:color w:val="000000"/>
              </w:rPr>
              <w:t>3,5</w:t>
            </w:r>
          </w:p>
        </w:tc>
        <w:tc>
          <w:tcPr>
            <w:tcW w:w="993" w:type="dxa"/>
            <w:noWrap/>
          </w:tcPr>
          <w:p w14:paraId="465C7EF6" w14:textId="3D324A60" w:rsidR="003D57CA" w:rsidRPr="00460AE5" w:rsidRDefault="003D57CA"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460AE5">
              <w:rPr>
                <w:rFonts w:cs="Calibri"/>
                <w:color w:val="000000"/>
              </w:rPr>
              <w:t>-</w:t>
            </w:r>
            <w:r w:rsidR="005936CD" w:rsidRPr="00460AE5">
              <w:rPr>
                <w:rFonts w:cs="Calibri"/>
                <w:color w:val="000000"/>
              </w:rPr>
              <w:t>2,8</w:t>
            </w:r>
          </w:p>
        </w:tc>
        <w:tc>
          <w:tcPr>
            <w:tcW w:w="993" w:type="dxa"/>
            <w:noWrap/>
          </w:tcPr>
          <w:p w14:paraId="657F6E38" w14:textId="4D5C27DB" w:rsidR="003D57CA" w:rsidRPr="00460AE5" w:rsidRDefault="005936CD"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460AE5">
              <w:rPr>
                <w:rFonts w:cs="Calibri"/>
                <w:color w:val="000000"/>
              </w:rPr>
              <w:t>-2,2</w:t>
            </w:r>
          </w:p>
        </w:tc>
      </w:tr>
      <w:tr w:rsidR="003D57CA" w:rsidRPr="005C120E" w14:paraId="704B9A5C" w14:textId="77777777" w:rsidTr="001D2FB3">
        <w:trPr>
          <w:trHeight w:val="266"/>
        </w:trPr>
        <w:tc>
          <w:tcPr>
            <w:cnfStyle w:val="001000000000" w:firstRow="0" w:lastRow="0" w:firstColumn="1" w:lastColumn="0" w:oddVBand="0" w:evenVBand="0" w:oddHBand="0" w:evenHBand="0" w:firstRowFirstColumn="0" w:firstRowLastColumn="0" w:lastRowFirstColumn="0" w:lastRowLastColumn="0"/>
            <w:tcW w:w="3684" w:type="dxa"/>
            <w:noWrap/>
          </w:tcPr>
          <w:p w14:paraId="72E6425A" w14:textId="5E97A3D1" w:rsidR="003D57CA" w:rsidRPr="005C120E" w:rsidRDefault="003D57CA" w:rsidP="003D57CA">
            <w:pPr>
              <w:tabs>
                <w:tab w:val="left" w:pos="291"/>
              </w:tabs>
              <w:spacing w:after="0"/>
              <w:jc w:val="right"/>
              <w:rPr>
                <w:rFonts w:cs="Segoe UI Light"/>
                <w:color w:val="000000"/>
                <w:sz w:val="20"/>
                <w:szCs w:val="20"/>
                <w:lang w:eastAsia="et-EE"/>
              </w:rPr>
            </w:pPr>
            <w:r w:rsidRPr="005C120E">
              <w:rPr>
                <w:rFonts w:cs="Segoe UI Light"/>
                <w:color w:val="000000"/>
                <w:sz w:val="20"/>
                <w:szCs w:val="20"/>
                <w:lang w:eastAsia="et-EE"/>
              </w:rPr>
              <w:t>struktuurne eelarvepositsioon (% SKP)</w:t>
            </w:r>
          </w:p>
        </w:tc>
        <w:tc>
          <w:tcPr>
            <w:tcW w:w="993" w:type="dxa"/>
          </w:tcPr>
          <w:p w14:paraId="068C6D16" w14:textId="6371D45F" w:rsidR="003D57CA" w:rsidRPr="00460AE5" w:rsidRDefault="003D57CA"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460AE5">
              <w:rPr>
                <w:rFonts w:cs="Calibri"/>
                <w:color w:val="000000"/>
              </w:rPr>
              <w:t>-</w:t>
            </w:r>
            <w:r w:rsidR="005936CD" w:rsidRPr="00460AE5">
              <w:rPr>
                <w:rFonts w:cs="Calibri"/>
                <w:color w:val="000000"/>
              </w:rPr>
              <w:t>3,8</w:t>
            </w:r>
          </w:p>
        </w:tc>
        <w:tc>
          <w:tcPr>
            <w:tcW w:w="993" w:type="dxa"/>
            <w:noWrap/>
          </w:tcPr>
          <w:p w14:paraId="5441982B" w14:textId="20ED3C38" w:rsidR="003D57CA" w:rsidRPr="00460AE5" w:rsidRDefault="003D57CA"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460AE5">
              <w:rPr>
                <w:rFonts w:cs="Calibri"/>
                <w:color w:val="000000"/>
              </w:rPr>
              <w:t>-</w:t>
            </w:r>
            <w:r w:rsidR="005936CD" w:rsidRPr="00460AE5">
              <w:rPr>
                <w:rFonts w:cs="Calibri"/>
                <w:color w:val="000000"/>
              </w:rPr>
              <w:t>3,1</w:t>
            </w:r>
          </w:p>
        </w:tc>
        <w:tc>
          <w:tcPr>
            <w:tcW w:w="993" w:type="dxa"/>
            <w:noWrap/>
          </w:tcPr>
          <w:p w14:paraId="737785C8" w14:textId="482C05E9" w:rsidR="003D57CA" w:rsidRPr="00460AE5" w:rsidRDefault="003D57CA"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460AE5">
              <w:rPr>
                <w:rFonts w:cs="Calibri"/>
                <w:color w:val="000000"/>
              </w:rPr>
              <w:t>-2,</w:t>
            </w:r>
            <w:r w:rsidR="005936CD" w:rsidRPr="00460AE5">
              <w:rPr>
                <w:rFonts w:cs="Calibri"/>
                <w:color w:val="000000"/>
              </w:rPr>
              <w:t>4</w:t>
            </w:r>
          </w:p>
        </w:tc>
        <w:tc>
          <w:tcPr>
            <w:tcW w:w="993" w:type="dxa"/>
            <w:noWrap/>
          </w:tcPr>
          <w:p w14:paraId="4B543388" w14:textId="5BEBA61E" w:rsidR="003D57CA" w:rsidRPr="00460AE5" w:rsidRDefault="003D57CA"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460AE5">
              <w:rPr>
                <w:rFonts w:cs="Calibri"/>
                <w:color w:val="000000"/>
              </w:rPr>
              <w:t>-</w:t>
            </w:r>
            <w:r w:rsidR="005936CD" w:rsidRPr="00460AE5">
              <w:rPr>
                <w:rFonts w:cs="Calibri"/>
                <w:color w:val="000000"/>
              </w:rPr>
              <w:t>2,7</w:t>
            </w:r>
          </w:p>
        </w:tc>
        <w:tc>
          <w:tcPr>
            <w:tcW w:w="993" w:type="dxa"/>
            <w:noWrap/>
          </w:tcPr>
          <w:p w14:paraId="7849B534" w14:textId="7A50AB01" w:rsidR="003D57CA" w:rsidRPr="00460AE5" w:rsidRDefault="003D57CA"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460AE5">
              <w:rPr>
                <w:rFonts w:cs="Calibri"/>
                <w:color w:val="000000"/>
              </w:rPr>
              <w:t>-</w:t>
            </w:r>
            <w:r w:rsidR="005936CD" w:rsidRPr="00460AE5">
              <w:rPr>
                <w:rFonts w:cs="Calibri"/>
                <w:color w:val="000000"/>
              </w:rPr>
              <w:t>2,3</w:t>
            </w:r>
          </w:p>
        </w:tc>
        <w:tc>
          <w:tcPr>
            <w:tcW w:w="993" w:type="dxa"/>
            <w:noWrap/>
          </w:tcPr>
          <w:p w14:paraId="3EB99310" w14:textId="03BD4AF7" w:rsidR="003D57CA" w:rsidRPr="00460AE5" w:rsidRDefault="005936CD"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460AE5">
              <w:rPr>
                <w:rFonts w:cs="Calibri"/>
                <w:color w:val="000000"/>
              </w:rPr>
              <w:t>-2,0</w:t>
            </w:r>
          </w:p>
        </w:tc>
      </w:tr>
      <w:tr w:rsidR="005936CD" w:rsidRPr="005C120E" w14:paraId="65F0C511" w14:textId="77777777" w:rsidTr="00B70BAA">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684" w:type="dxa"/>
            <w:noWrap/>
          </w:tcPr>
          <w:p w14:paraId="2C5B7C4E" w14:textId="77777777" w:rsidR="005936CD" w:rsidRPr="005C120E" w:rsidRDefault="005936CD" w:rsidP="005936CD">
            <w:pPr>
              <w:tabs>
                <w:tab w:val="left" w:pos="291"/>
              </w:tabs>
              <w:spacing w:after="0"/>
              <w:jc w:val="right"/>
              <w:rPr>
                <w:rFonts w:cs="Segoe UI Light"/>
                <w:color w:val="000000"/>
                <w:sz w:val="20"/>
                <w:szCs w:val="20"/>
                <w:lang w:eastAsia="et-EE"/>
              </w:rPr>
            </w:pPr>
            <w:r w:rsidRPr="005C120E">
              <w:rPr>
                <w:rFonts w:cs="Segoe UI Light"/>
                <w:color w:val="000000"/>
                <w:sz w:val="20"/>
                <w:szCs w:val="20"/>
                <w:lang w:eastAsia="et-EE"/>
              </w:rPr>
              <w:t xml:space="preserve">kumulatiivne struktuurne </w:t>
            </w:r>
          </w:p>
          <w:p w14:paraId="1F6DBB8D" w14:textId="4CBC8757" w:rsidR="005936CD" w:rsidRPr="005C120E" w:rsidRDefault="005936CD" w:rsidP="005936CD">
            <w:pPr>
              <w:tabs>
                <w:tab w:val="left" w:pos="291"/>
              </w:tabs>
              <w:spacing w:after="0"/>
              <w:jc w:val="right"/>
              <w:rPr>
                <w:rFonts w:cs="Segoe UI Light"/>
                <w:color w:val="000000"/>
                <w:sz w:val="20"/>
                <w:szCs w:val="20"/>
                <w:lang w:eastAsia="et-EE"/>
              </w:rPr>
            </w:pPr>
            <w:r w:rsidRPr="005C120E">
              <w:rPr>
                <w:rFonts w:cs="Segoe UI Light"/>
                <w:color w:val="000000"/>
                <w:sz w:val="20"/>
                <w:szCs w:val="20"/>
                <w:lang w:eastAsia="et-EE"/>
              </w:rPr>
              <w:t>eelarvepositsioon (% SKP)</w:t>
            </w:r>
          </w:p>
        </w:tc>
        <w:tc>
          <w:tcPr>
            <w:tcW w:w="993" w:type="dxa"/>
            <w:vAlign w:val="bottom"/>
          </w:tcPr>
          <w:p w14:paraId="4FC0DB13" w14:textId="0FF1941D" w:rsidR="005936CD" w:rsidRPr="00460AE5" w:rsidRDefault="005936CD"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F83B91">
              <w:rPr>
                <w:rFonts w:cs="Calibri"/>
                <w:color w:val="000000"/>
              </w:rPr>
              <w:t>-9,4</w:t>
            </w:r>
          </w:p>
        </w:tc>
        <w:tc>
          <w:tcPr>
            <w:tcW w:w="993" w:type="dxa"/>
            <w:noWrap/>
            <w:vAlign w:val="bottom"/>
          </w:tcPr>
          <w:p w14:paraId="34A1535A" w14:textId="41CBE0B8" w:rsidR="005936CD" w:rsidRPr="00460AE5" w:rsidRDefault="005936CD"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F83B91">
              <w:rPr>
                <w:rFonts w:cs="Calibri"/>
                <w:color w:val="000000"/>
              </w:rPr>
              <w:t>-11,9</w:t>
            </w:r>
          </w:p>
        </w:tc>
        <w:tc>
          <w:tcPr>
            <w:tcW w:w="993" w:type="dxa"/>
            <w:noWrap/>
            <w:vAlign w:val="bottom"/>
          </w:tcPr>
          <w:p w14:paraId="2C07694E" w14:textId="4578D7EC" w:rsidR="005936CD" w:rsidRPr="00460AE5" w:rsidRDefault="005936CD"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F83B91">
              <w:rPr>
                <w:rFonts w:cs="Calibri"/>
                <w:color w:val="000000"/>
              </w:rPr>
              <w:t>-13,8</w:t>
            </w:r>
          </w:p>
        </w:tc>
        <w:tc>
          <w:tcPr>
            <w:tcW w:w="993" w:type="dxa"/>
            <w:noWrap/>
            <w:vAlign w:val="bottom"/>
          </w:tcPr>
          <w:p w14:paraId="335FA55C" w14:textId="480053D9" w:rsidR="005936CD" w:rsidRPr="00460AE5" w:rsidRDefault="005936CD"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F83B91">
              <w:rPr>
                <w:rFonts w:cs="Calibri"/>
                <w:color w:val="000000"/>
              </w:rPr>
              <w:t>-15,9</w:t>
            </w:r>
          </w:p>
        </w:tc>
        <w:tc>
          <w:tcPr>
            <w:tcW w:w="993" w:type="dxa"/>
            <w:noWrap/>
            <w:vAlign w:val="bottom"/>
          </w:tcPr>
          <w:p w14:paraId="775793F5" w14:textId="4F9D80E0" w:rsidR="005936CD" w:rsidRPr="00460AE5" w:rsidRDefault="005936CD"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F83B91">
              <w:rPr>
                <w:rFonts w:cs="Calibri"/>
                <w:color w:val="000000"/>
              </w:rPr>
              <w:t>-17,5</w:t>
            </w:r>
          </w:p>
        </w:tc>
        <w:tc>
          <w:tcPr>
            <w:tcW w:w="993" w:type="dxa"/>
            <w:noWrap/>
            <w:vAlign w:val="bottom"/>
          </w:tcPr>
          <w:p w14:paraId="75D42087" w14:textId="6865F16E" w:rsidR="005936CD" w:rsidRPr="00460AE5" w:rsidRDefault="005936CD"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F83B91">
              <w:rPr>
                <w:rFonts w:cs="Calibri"/>
                <w:color w:val="000000"/>
              </w:rPr>
              <w:t>-18,6</w:t>
            </w:r>
          </w:p>
        </w:tc>
      </w:tr>
      <w:tr w:rsidR="003D57CA" w:rsidRPr="005C120E" w14:paraId="43B27F0D" w14:textId="77777777" w:rsidTr="00DF7023">
        <w:trPr>
          <w:trHeight w:val="266"/>
        </w:trPr>
        <w:tc>
          <w:tcPr>
            <w:cnfStyle w:val="001000000000" w:firstRow="0" w:lastRow="0" w:firstColumn="1" w:lastColumn="0" w:oddVBand="0" w:evenVBand="0" w:oddHBand="0" w:evenHBand="0" w:firstRowFirstColumn="0" w:firstRowLastColumn="0" w:lastRowFirstColumn="0" w:lastRowLastColumn="0"/>
            <w:tcW w:w="3684" w:type="dxa"/>
            <w:noWrap/>
            <w:hideMark/>
          </w:tcPr>
          <w:p w14:paraId="60C4F7EA" w14:textId="303FEE75" w:rsidR="003D57CA" w:rsidRPr="005C120E" w:rsidRDefault="003D57CA" w:rsidP="003D57CA">
            <w:pPr>
              <w:tabs>
                <w:tab w:val="left" w:pos="291"/>
              </w:tabs>
              <w:spacing w:after="0"/>
              <w:jc w:val="right"/>
              <w:rPr>
                <w:rFonts w:cs="Segoe UI Light"/>
                <w:color w:val="000000"/>
                <w:sz w:val="20"/>
                <w:szCs w:val="20"/>
                <w:lang w:eastAsia="et-EE"/>
              </w:rPr>
            </w:pPr>
            <w:r w:rsidRPr="005C120E">
              <w:rPr>
                <w:rFonts w:cs="Segoe UI Light"/>
                <w:color w:val="000000"/>
                <w:sz w:val="20"/>
                <w:szCs w:val="20"/>
                <w:lang w:eastAsia="et-EE"/>
              </w:rPr>
              <w:t>võlakoormus (% SKP)</w:t>
            </w:r>
          </w:p>
        </w:tc>
        <w:tc>
          <w:tcPr>
            <w:tcW w:w="993" w:type="dxa"/>
          </w:tcPr>
          <w:p w14:paraId="7F67A492" w14:textId="29EC03EC" w:rsidR="003D57CA" w:rsidRPr="00460AE5" w:rsidRDefault="003D57CA"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460AE5">
              <w:rPr>
                <w:rFonts w:cs="Calibri"/>
                <w:color w:val="000000"/>
              </w:rPr>
              <w:t>18,</w:t>
            </w:r>
            <w:r w:rsidR="00A14293" w:rsidRPr="00460AE5">
              <w:rPr>
                <w:rFonts w:cs="Calibri"/>
                <w:color w:val="000000"/>
              </w:rPr>
              <w:t>1</w:t>
            </w:r>
          </w:p>
        </w:tc>
        <w:tc>
          <w:tcPr>
            <w:tcW w:w="993" w:type="dxa"/>
            <w:noWrap/>
          </w:tcPr>
          <w:p w14:paraId="462169B4" w14:textId="0400CC82" w:rsidR="003D57CA" w:rsidRPr="00460AE5" w:rsidRDefault="003D57CA"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460AE5">
              <w:rPr>
                <w:rFonts w:cs="Calibri"/>
                <w:color w:val="000000"/>
              </w:rPr>
              <w:t>1</w:t>
            </w:r>
            <w:r w:rsidR="00A14293" w:rsidRPr="00460AE5">
              <w:rPr>
                <w:rFonts w:cs="Calibri"/>
                <w:color w:val="000000"/>
              </w:rPr>
              <w:t>9</w:t>
            </w:r>
            <w:r w:rsidRPr="00460AE5">
              <w:rPr>
                <w:rFonts w:cs="Calibri"/>
                <w:color w:val="000000"/>
              </w:rPr>
              <w:t>,</w:t>
            </w:r>
            <w:r w:rsidR="00A14293" w:rsidRPr="00460AE5">
              <w:rPr>
                <w:rFonts w:cs="Calibri"/>
                <w:color w:val="000000"/>
              </w:rPr>
              <w:t>2</w:t>
            </w:r>
          </w:p>
        </w:tc>
        <w:tc>
          <w:tcPr>
            <w:tcW w:w="993" w:type="dxa"/>
            <w:noWrap/>
          </w:tcPr>
          <w:p w14:paraId="0AE0F131" w14:textId="2BFCCC29" w:rsidR="003D57CA" w:rsidRPr="00460AE5" w:rsidRDefault="00A14293"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460AE5">
              <w:rPr>
                <w:rFonts w:cs="Calibri"/>
                <w:color w:val="000000"/>
              </w:rPr>
              <w:t>21</w:t>
            </w:r>
            <w:r w:rsidR="003D57CA" w:rsidRPr="00460AE5">
              <w:rPr>
                <w:rFonts w:cs="Calibri"/>
                <w:color w:val="000000"/>
              </w:rPr>
              <w:t>,</w:t>
            </w:r>
            <w:r w:rsidRPr="00460AE5">
              <w:rPr>
                <w:rFonts w:cs="Calibri"/>
                <w:color w:val="000000"/>
              </w:rPr>
              <w:t>6</w:t>
            </w:r>
          </w:p>
        </w:tc>
        <w:tc>
          <w:tcPr>
            <w:tcW w:w="993" w:type="dxa"/>
            <w:noWrap/>
          </w:tcPr>
          <w:p w14:paraId="72918D42" w14:textId="1E77828A" w:rsidR="003D57CA" w:rsidRPr="00460AE5" w:rsidRDefault="003D57CA"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460AE5">
              <w:rPr>
                <w:rFonts w:cs="Calibri"/>
                <w:color w:val="000000"/>
              </w:rPr>
              <w:t>2</w:t>
            </w:r>
            <w:r w:rsidR="00A14293" w:rsidRPr="00460AE5">
              <w:rPr>
                <w:rFonts w:cs="Calibri"/>
                <w:color w:val="000000"/>
              </w:rPr>
              <w:t>5</w:t>
            </w:r>
            <w:r w:rsidRPr="00460AE5">
              <w:rPr>
                <w:rFonts w:cs="Calibri"/>
                <w:color w:val="000000"/>
              </w:rPr>
              <w:t>,</w:t>
            </w:r>
            <w:r w:rsidR="00A14293" w:rsidRPr="00460AE5">
              <w:rPr>
                <w:rFonts w:cs="Calibri"/>
                <w:color w:val="000000"/>
              </w:rPr>
              <w:t>1</w:t>
            </w:r>
          </w:p>
        </w:tc>
        <w:tc>
          <w:tcPr>
            <w:tcW w:w="993" w:type="dxa"/>
            <w:noWrap/>
          </w:tcPr>
          <w:p w14:paraId="54E5207A" w14:textId="0F6B21FE" w:rsidR="003D57CA" w:rsidRPr="00460AE5" w:rsidRDefault="00A14293"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460AE5">
              <w:rPr>
                <w:rFonts w:cs="Calibri"/>
                <w:color w:val="000000"/>
              </w:rPr>
              <w:t>26</w:t>
            </w:r>
            <w:r w:rsidR="003D57CA" w:rsidRPr="00460AE5">
              <w:rPr>
                <w:rFonts w:cs="Calibri"/>
                <w:color w:val="000000"/>
              </w:rPr>
              <w:t>,</w:t>
            </w:r>
            <w:r w:rsidRPr="00460AE5">
              <w:rPr>
                <w:rFonts w:cs="Calibri"/>
                <w:color w:val="000000"/>
              </w:rPr>
              <w:t>5</w:t>
            </w:r>
          </w:p>
        </w:tc>
        <w:tc>
          <w:tcPr>
            <w:tcW w:w="993" w:type="dxa"/>
            <w:noWrap/>
          </w:tcPr>
          <w:p w14:paraId="751BB9C4" w14:textId="5A0B94A2" w:rsidR="003D57CA" w:rsidRPr="00460AE5" w:rsidRDefault="00A14293" w:rsidP="007A581E">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460AE5">
              <w:rPr>
                <w:rFonts w:cs="Calibri"/>
                <w:color w:val="000000"/>
              </w:rPr>
              <w:t>2</w:t>
            </w:r>
            <w:r w:rsidR="003D57CA" w:rsidRPr="00460AE5">
              <w:rPr>
                <w:rFonts w:cs="Calibri"/>
                <w:color w:val="000000"/>
              </w:rPr>
              <w:t>7,</w:t>
            </w:r>
            <w:r w:rsidRPr="00460AE5">
              <w:rPr>
                <w:rFonts w:cs="Calibri"/>
                <w:color w:val="000000"/>
              </w:rPr>
              <w:t>1</w:t>
            </w:r>
          </w:p>
        </w:tc>
      </w:tr>
      <w:tr w:rsidR="003D57CA" w:rsidRPr="005822EA" w14:paraId="22D21E67" w14:textId="77777777" w:rsidTr="00DF7023">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684" w:type="dxa"/>
            <w:noWrap/>
          </w:tcPr>
          <w:p w14:paraId="55005F72" w14:textId="5F3CC519" w:rsidR="003D57CA" w:rsidRPr="005C120E" w:rsidRDefault="003D57CA" w:rsidP="003D57CA">
            <w:pPr>
              <w:tabs>
                <w:tab w:val="left" w:pos="291"/>
              </w:tabs>
              <w:spacing w:after="0"/>
              <w:jc w:val="right"/>
              <w:rPr>
                <w:rFonts w:cs="Segoe UI Light"/>
                <w:color w:val="000000"/>
                <w:sz w:val="20"/>
                <w:szCs w:val="20"/>
                <w:lang w:eastAsia="et-EE"/>
              </w:rPr>
            </w:pPr>
            <w:r w:rsidRPr="005C120E">
              <w:rPr>
                <w:rFonts w:cs="Segoe UI Light"/>
                <w:color w:val="000000"/>
                <w:sz w:val="20"/>
                <w:szCs w:val="20"/>
                <w:lang w:eastAsia="et-EE"/>
              </w:rPr>
              <w:t>reserv kokku (% SKP)</w:t>
            </w:r>
          </w:p>
        </w:tc>
        <w:tc>
          <w:tcPr>
            <w:tcW w:w="993" w:type="dxa"/>
          </w:tcPr>
          <w:p w14:paraId="0A5A80A5" w14:textId="264645E5" w:rsidR="003D57CA" w:rsidRPr="00460AE5" w:rsidRDefault="003D57CA"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460AE5">
              <w:rPr>
                <w:rFonts w:cs="Calibri"/>
                <w:color w:val="000000"/>
              </w:rPr>
              <w:t>1</w:t>
            </w:r>
            <w:r w:rsidR="00A14293" w:rsidRPr="00460AE5">
              <w:rPr>
                <w:rFonts w:cs="Calibri"/>
                <w:color w:val="000000"/>
              </w:rPr>
              <w:t>0</w:t>
            </w:r>
            <w:r w:rsidRPr="00460AE5">
              <w:rPr>
                <w:rFonts w:cs="Calibri"/>
                <w:color w:val="000000"/>
              </w:rPr>
              <w:t>,</w:t>
            </w:r>
            <w:r w:rsidR="00A14293" w:rsidRPr="00460AE5">
              <w:rPr>
                <w:rFonts w:cs="Calibri"/>
                <w:color w:val="000000"/>
              </w:rPr>
              <w:t>4</w:t>
            </w:r>
          </w:p>
        </w:tc>
        <w:tc>
          <w:tcPr>
            <w:tcW w:w="993" w:type="dxa"/>
            <w:noWrap/>
          </w:tcPr>
          <w:p w14:paraId="4D05E074" w14:textId="6456B496" w:rsidR="003D57CA" w:rsidRPr="00460AE5" w:rsidRDefault="00A14293"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7</w:t>
            </w:r>
            <w:r w:rsidR="003D57CA" w:rsidRPr="00460AE5">
              <w:rPr>
                <w:rFonts w:cs="Calibri"/>
                <w:color w:val="000000"/>
              </w:rPr>
              <w:t>,</w:t>
            </w:r>
            <w:r>
              <w:rPr>
                <w:rFonts w:cs="Calibri"/>
                <w:color w:val="000000"/>
              </w:rPr>
              <w:t>7</w:t>
            </w:r>
          </w:p>
        </w:tc>
        <w:tc>
          <w:tcPr>
            <w:tcW w:w="993" w:type="dxa"/>
            <w:noWrap/>
          </w:tcPr>
          <w:p w14:paraId="7580A9EA" w14:textId="4E35D157" w:rsidR="003D57CA" w:rsidRPr="00460AE5" w:rsidRDefault="00A14293"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7</w:t>
            </w:r>
            <w:r w:rsidR="003D57CA" w:rsidRPr="00460AE5">
              <w:rPr>
                <w:rFonts w:cs="Calibri"/>
                <w:color w:val="000000"/>
              </w:rPr>
              <w:t>,</w:t>
            </w:r>
            <w:r>
              <w:rPr>
                <w:rFonts w:cs="Calibri"/>
                <w:color w:val="000000"/>
              </w:rPr>
              <w:t>2</w:t>
            </w:r>
          </w:p>
        </w:tc>
        <w:tc>
          <w:tcPr>
            <w:tcW w:w="993" w:type="dxa"/>
            <w:noWrap/>
          </w:tcPr>
          <w:p w14:paraId="640365CD" w14:textId="01ACDED6" w:rsidR="003D57CA" w:rsidRPr="00460AE5" w:rsidRDefault="003D57CA"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460AE5">
              <w:rPr>
                <w:rFonts w:cs="Calibri"/>
                <w:color w:val="000000"/>
              </w:rPr>
              <w:t>7,</w:t>
            </w:r>
            <w:r w:rsidR="00A14293">
              <w:rPr>
                <w:rFonts w:cs="Calibri"/>
                <w:color w:val="000000"/>
              </w:rPr>
              <w:t>3</w:t>
            </w:r>
          </w:p>
        </w:tc>
        <w:tc>
          <w:tcPr>
            <w:tcW w:w="993" w:type="dxa"/>
            <w:noWrap/>
          </w:tcPr>
          <w:p w14:paraId="7165439C" w14:textId="5FED5E41" w:rsidR="003D57CA" w:rsidRPr="00460AE5" w:rsidRDefault="003D57CA"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460AE5">
              <w:rPr>
                <w:rFonts w:cs="Calibri"/>
                <w:color w:val="000000"/>
              </w:rPr>
              <w:t>7,</w:t>
            </w:r>
            <w:r w:rsidR="00A14293">
              <w:rPr>
                <w:rFonts w:cs="Calibri"/>
                <w:color w:val="000000"/>
              </w:rPr>
              <w:t>1</w:t>
            </w:r>
          </w:p>
        </w:tc>
        <w:tc>
          <w:tcPr>
            <w:tcW w:w="993" w:type="dxa"/>
            <w:noWrap/>
          </w:tcPr>
          <w:p w14:paraId="54DFA537" w14:textId="00989BC4" w:rsidR="003D57CA" w:rsidRPr="00460AE5" w:rsidRDefault="00A14293" w:rsidP="007A581E">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6</w:t>
            </w:r>
            <w:r w:rsidR="003D57CA" w:rsidRPr="00460AE5">
              <w:rPr>
                <w:rFonts w:cs="Calibri"/>
                <w:color w:val="000000"/>
              </w:rPr>
              <w:t>,</w:t>
            </w:r>
            <w:r>
              <w:rPr>
                <w:rFonts w:cs="Calibri"/>
                <w:color w:val="000000"/>
              </w:rPr>
              <w:t>8</w:t>
            </w:r>
          </w:p>
        </w:tc>
      </w:tr>
    </w:tbl>
    <w:p w14:paraId="31C0F076" w14:textId="030B43E7" w:rsidR="00BF762C" w:rsidRPr="005822EA" w:rsidRDefault="00BF762C" w:rsidP="006A5CB8">
      <w:pPr>
        <w:pStyle w:val="Mrkus"/>
      </w:pPr>
      <w:r w:rsidRPr="005822EA">
        <w:t>Allika</w:t>
      </w:r>
      <w:r w:rsidR="006A5CB8">
        <w:t>s</w:t>
      </w:r>
      <w:r w:rsidRPr="005822EA">
        <w:t xml:space="preserve">: Rahandusministeeriumi </w:t>
      </w:r>
      <w:r w:rsidR="00FF47F0">
        <w:t>kevadine</w:t>
      </w:r>
      <w:r w:rsidR="003D57CA">
        <w:t xml:space="preserve"> </w:t>
      </w:r>
      <w:r w:rsidRPr="005822EA">
        <w:t>prognoos</w:t>
      </w:r>
    </w:p>
    <w:p w14:paraId="640503B3" w14:textId="325AC998" w:rsidR="004567A8" w:rsidRPr="005822EA" w:rsidRDefault="004567A8" w:rsidP="006A5CB8">
      <w:pPr>
        <w:pStyle w:val="Mrkus"/>
        <w:rPr>
          <w:b/>
        </w:rPr>
        <w:sectPr w:rsidR="004567A8" w:rsidRPr="005822EA" w:rsidSect="0093189D">
          <w:endnotePr>
            <w:numFmt w:val="decimal"/>
          </w:endnotePr>
          <w:pgSz w:w="11906" w:h="16838"/>
          <w:pgMar w:top="964" w:right="964" w:bottom="964" w:left="964" w:header="709" w:footer="709" w:gutter="0"/>
          <w:cols w:space="708"/>
          <w:docGrid w:linePitch="360"/>
        </w:sectPr>
      </w:pPr>
    </w:p>
    <w:p w14:paraId="326E117B" w14:textId="0F2FD3FA" w:rsidR="00963513" w:rsidRPr="006014DB" w:rsidRDefault="00963513" w:rsidP="006014DB">
      <w:pPr>
        <w:pStyle w:val="Phitekst"/>
      </w:pPr>
      <w:r w:rsidRPr="006014DB">
        <w:t xml:space="preserve">Enne Venemaa </w:t>
      </w:r>
      <w:r w:rsidR="00A05DAF">
        <w:t xml:space="preserve">sõjalise </w:t>
      </w:r>
      <w:r w:rsidRPr="006014DB">
        <w:t>agressiooni algust Ukrainas oli Eesti majanduse seis hea ning väljavaated optimistlikud. Viirusekriisist tuli Eesti välja edukalt – viimase kahe aasta keskmine majanduskasv oli sisuliselt EL kiireim (3%). Eesti edaspidist majanduskasvu oleks kenasti toetanud ka EL suurte majanduste lõplik taastumine viirusekriisist 2022. aastal, mida kõik märgid näitasid. Energiahindade ülikiire tõus oleks siiski ka ilma sõja puhkemata vähendanud SKP reaalkasvu.</w:t>
      </w:r>
    </w:p>
    <w:p w14:paraId="4EFE4000" w14:textId="209731D7" w:rsidR="008E71C4" w:rsidRDefault="00963513" w:rsidP="006014DB">
      <w:pPr>
        <w:pStyle w:val="Phitekst"/>
      </w:pPr>
      <w:r w:rsidRPr="006014DB">
        <w:t>Valitud eeldustel jääb Eesti majanduse reaalkasv 2022. aastal u</w:t>
      </w:r>
      <w:r w:rsidR="00314AE2" w:rsidRPr="006014DB">
        <w:t>mbes</w:t>
      </w:r>
      <w:r w:rsidRPr="006014DB">
        <w:t xml:space="preserve"> 4</w:t>
      </w:r>
      <w:r w:rsidR="00A05DAF">
        <w:t xml:space="preserve"> protsendipunkti võrra </w:t>
      </w:r>
      <w:r w:rsidRPr="006014DB">
        <w:t>madalamaks võrreldes sõja mittepuhkemise stsenaariumiga ehk reaalne SKP sellel aastal natukene väheneb. Lisandväärtuse loomist takistavad nii ekspordi</w:t>
      </w:r>
      <w:r w:rsidR="00A05DAF">
        <w:t>-</w:t>
      </w:r>
      <w:r w:rsidRPr="006014DB">
        <w:t xml:space="preserve"> kui</w:t>
      </w:r>
      <w:r w:rsidR="00A05DAF">
        <w:t xml:space="preserve"> ka</w:t>
      </w:r>
      <w:r w:rsidRPr="006014DB">
        <w:t xml:space="preserve"> impordipiirangud ja lisaks väiksem tarbimis- ja investeerimisjulgus. Langusele aastases võrdluses aitab kaasa ka 2021. aasta viimase kvartali väga kiire kasv, mis oli põhjustatud ühekordsetest teguritest. Kerge majanduskasv taastub 2023. aastal, kuid see jääb varem arvatust madalamaks. SKP nominaalmaht on aastal 2022 siiski u</w:t>
      </w:r>
      <w:r w:rsidR="00314AE2" w:rsidRPr="006014DB">
        <w:t>mbes</w:t>
      </w:r>
      <w:r w:rsidRPr="006014DB">
        <w:t xml:space="preserve"> 0,4 mld eurot eelmisel suvel </w:t>
      </w:r>
      <w:r w:rsidRPr="006014DB">
        <w:t>prognoositust suurem kiire hinnatõusu tõttu. Tarbijahinnad kasvavad 2022. aastal 12,7%, mis toob kaasa reaalsissetulekute ja eratarbimise vähenemise.</w:t>
      </w:r>
    </w:p>
    <w:p w14:paraId="4DCC1468" w14:textId="0E28753E" w:rsidR="00B70BAA" w:rsidRDefault="00B70BAA" w:rsidP="00B70BAA">
      <w:pPr>
        <w:pStyle w:val="Phitekst"/>
      </w:pPr>
      <w:r>
        <w:t>Käesoleva aasta eelarvepositsioon on tugevalt mõjutatud Venemaa–Ukraina sõjast, eelarvepuudujääk ulatub 1,25 miljardi euroni ehk 3,8%ni SKPst. Võrreldes eelmise prognoosiga on vähendatud maksutulude kasvu nii sel kui ka järgmistel aastatel, mille põhjuseks on peamiselt hõive langusest tingitud tööjõumaksude väiksem laekumine.</w:t>
      </w:r>
    </w:p>
    <w:p w14:paraId="2937C7B4" w14:textId="51B221A3" w:rsidR="00B70BAA" w:rsidRDefault="00B70BAA" w:rsidP="00B70BAA">
      <w:pPr>
        <w:pStyle w:val="Phitekst"/>
      </w:pPr>
      <w:r>
        <w:t>Kulude tase kasvab sõja mõjust tingituna kõikidel valitsussektori tasanditel. Suurim koormus lisakulude kandmisel jääb riigieelarvele, kuhu lisandub julgeolekuga ning põgenikega seotud kulusid.</w:t>
      </w:r>
    </w:p>
    <w:p w14:paraId="2D2A7159" w14:textId="6B2259BC" w:rsidR="00B70BAA" w:rsidRPr="006014DB" w:rsidRDefault="00B70BAA" w:rsidP="00B70BAA">
      <w:pPr>
        <w:pStyle w:val="Phitekst"/>
      </w:pPr>
      <w:r>
        <w:t>Valitsussektori võlakoormus kasvab suurema defitsiidi tulemusel sel aastal 19,2%ni</w:t>
      </w:r>
      <w:r w:rsidR="00A05DAF">
        <w:t xml:space="preserve"> SKPst</w:t>
      </w:r>
      <w:r>
        <w:t xml:space="preserve"> ja </w:t>
      </w:r>
      <w:r w:rsidR="00A05DAF">
        <w:t>2026</w:t>
      </w:r>
      <w:r w:rsidR="00A05DAF">
        <w:t>.</w:t>
      </w:r>
      <w:r w:rsidR="00A05DAF">
        <w:t xml:space="preserve"> </w:t>
      </w:r>
      <w:r>
        <w:t>aastaks 27,1%ni SKPst.</w:t>
      </w:r>
    </w:p>
    <w:bookmarkEnd w:id="20"/>
    <w:p w14:paraId="3B5F3BD3" w14:textId="77777777" w:rsidR="0080706D" w:rsidRPr="006014DB" w:rsidRDefault="0080706D" w:rsidP="006014DB">
      <w:pPr>
        <w:pStyle w:val="Phitekst"/>
      </w:pPr>
    </w:p>
    <w:p w14:paraId="3F388D8B" w14:textId="0E8FBD56" w:rsidR="007E33F9" w:rsidRPr="00C156F6" w:rsidRDefault="007E33F9" w:rsidP="006A5CB8">
      <w:pPr>
        <w:pStyle w:val="Phitekst"/>
        <w:sectPr w:rsidR="007E33F9" w:rsidRPr="00C156F6" w:rsidSect="00551E9E">
          <w:endnotePr>
            <w:numFmt w:val="decimal"/>
          </w:endnotePr>
          <w:type w:val="continuous"/>
          <w:pgSz w:w="11906" w:h="16838"/>
          <w:pgMar w:top="964" w:right="964" w:bottom="964" w:left="964" w:header="709" w:footer="709" w:gutter="0"/>
          <w:cols w:num="2" w:space="708"/>
          <w:docGrid w:linePitch="360"/>
        </w:sectPr>
      </w:pPr>
    </w:p>
    <w:p w14:paraId="108A30DB" w14:textId="77777777" w:rsidR="00697A9B" w:rsidRPr="005822EA" w:rsidRDefault="00697A9B" w:rsidP="006A5CB8">
      <w:pPr>
        <w:pStyle w:val="Phitekst"/>
      </w:pPr>
    </w:p>
    <w:p w14:paraId="779AF57E" w14:textId="77777777" w:rsidR="00AE30BD" w:rsidRPr="005822EA" w:rsidRDefault="00AE30BD" w:rsidP="006A5CB8">
      <w:pPr>
        <w:pStyle w:val="Phitekst"/>
        <w:sectPr w:rsidR="00AE30BD" w:rsidRPr="005822EA" w:rsidSect="00551E9E">
          <w:endnotePr>
            <w:numFmt w:val="decimal"/>
          </w:endnotePr>
          <w:type w:val="continuous"/>
          <w:pgSz w:w="11906" w:h="16838"/>
          <w:pgMar w:top="964" w:right="964" w:bottom="964" w:left="964" w:header="709" w:footer="709" w:gutter="0"/>
          <w:cols w:space="708"/>
          <w:docGrid w:linePitch="360"/>
        </w:sectPr>
      </w:pPr>
    </w:p>
    <w:p w14:paraId="0EC8E77A" w14:textId="79E3CC31" w:rsidR="00F42C6C" w:rsidRPr="005822EA" w:rsidRDefault="00F42C6C" w:rsidP="00E66452">
      <w:pPr>
        <w:pStyle w:val="Pealkiri1"/>
        <w:jc w:val="both"/>
      </w:pPr>
      <w:bookmarkStart w:id="23" w:name="_Toc62631811"/>
      <w:bookmarkStart w:id="24" w:name="_Toc64504532"/>
      <w:bookmarkStart w:id="25" w:name="_Toc64844878"/>
      <w:bookmarkStart w:id="26" w:name="_Toc100230253"/>
      <w:r w:rsidRPr="005822EA">
        <w:lastRenderedPageBreak/>
        <w:t>MAKROMAJANDUSPROGNOOS</w:t>
      </w:r>
      <w:bookmarkEnd w:id="23"/>
      <w:bookmarkEnd w:id="24"/>
      <w:bookmarkEnd w:id="25"/>
      <w:bookmarkEnd w:id="26"/>
    </w:p>
    <w:p w14:paraId="4C64DACF" w14:textId="3C82495A" w:rsidR="008E715D" w:rsidRPr="005822EA" w:rsidRDefault="00684FE1" w:rsidP="00E66452">
      <w:pPr>
        <w:pStyle w:val="Pealkiri2"/>
        <w:jc w:val="both"/>
      </w:pPr>
      <w:bookmarkStart w:id="27" w:name="_Toc18917244"/>
      <w:bookmarkStart w:id="28" w:name="_Toc62631812"/>
      <w:bookmarkStart w:id="29" w:name="_Toc64504533"/>
      <w:bookmarkStart w:id="30" w:name="_Toc100230254"/>
      <w:r>
        <w:t>Prognoosi eeldused</w:t>
      </w:r>
      <w:bookmarkEnd w:id="27"/>
      <w:bookmarkEnd w:id="28"/>
      <w:bookmarkEnd w:id="29"/>
      <w:bookmarkEnd w:id="30"/>
    </w:p>
    <w:p w14:paraId="11A4308B" w14:textId="41EEF374" w:rsidR="00C15BDB" w:rsidRPr="005822EA" w:rsidRDefault="00E16539" w:rsidP="00575127">
      <w:pPr>
        <w:pStyle w:val="Alapunkt"/>
        <w:rPr>
          <w:b/>
          <w:szCs w:val="26"/>
        </w:rPr>
        <w:sectPr w:rsidR="00C15BDB" w:rsidRPr="005822EA" w:rsidSect="0093189D">
          <w:endnotePr>
            <w:numFmt w:val="decimal"/>
          </w:endnotePr>
          <w:pgSz w:w="11906" w:h="16838"/>
          <w:pgMar w:top="964" w:right="964" w:bottom="964" w:left="964" w:header="709" w:footer="709" w:gutter="0"/>
          <w:cols w:space="708"/>
          <w:docGrid w:linePitch="360"/>
        </w:sectPr>
      </w:pPr>
      <w:r w:rsidRPr="00E16539">
        <w:t xml:space="preserve">Majandusarengut mõjutavad oluliselt </w:t>
      </w:r>
      <w:r w:rsidR="007D43DD">
        <w:t>geopoliitilised</w:t>
      </w:r>
      <w:r w:rsidRPr="00E16539">
        <w:t xml:space="preserve"> tegurid. </w:t>
      </w:r>
      <w:r w:rsidR="00A05DAF">
        <w:t xml:space="preserve">Venemaa sõjalise agressiooni </w:t>
      </w:r>
      <w:r w:rsidRPr="00E16539">
        <w:t>mõju väliskaubandusele on otsene. Energiakandjate kiire hinnatõus pärsib kasvu kogu ELis</w:t>
      </w:r>
      <w:r w:rsidR="00AE4868" w:rsidRPr="00E16539">
        <w:t>.</w:t>
      </w:r>
    </w:p>
    <w:p w14:paraId="4845C841" w14:textId="7CBC8A30" w:rsidR="00963513" w:rsidRPr="00F96DB9" w:rsidRDefault="00963513" w:rsidP="00F96DB9">
      <w:pPr>
        <w:pStyle w:val="Phitekst"/>
        <w:rPr>
          <w:rStyle w:val="Tugev"/>
          <w:rFonts w:cstheme="minorBidi"/>
          <w:b w:val="0"/>
          <w:bCs w:val="0"/>
        </w:rPr>
      </w:pPr>
      <w:r w:rsidRPr="00F96DB9">
        <w:rPr>
          <w:rStyle w:val="PhitekstChar"/>
          <w:rFonts w:asciiTheme="minorHAnsi" w:hAnsiTheme="minorHAnsi"/>
        </w:rPr>
        <w:t>2022. aasta kevadel on prognoosijad sarnaselt kahe aasta taguse ajaga olukorras, kus</w:t>
      </w:r>
      <w:r w:rsidRPr="00F96DB9">
        <w:rPr>
          <w:rStyle w:val="Tugev"/>
          <w:rFonts w:cstheme="minorBidi"/>
          <w:b w:val="0"/>
          <w:bCs w:val="0"/>
        </w:rPr>
        <w:t xml:space="preserve"> </w:t>
      </w:r>
      <w:r w:rsidRPr="00F96DB9">
        <w:rPr>
          <w:rStyle w:val="Tugev"/>
        </w:rPr>
        <w:t>määramatus</w:t>
      </w:r>
      <w:r w:rsidRPr="00F96DB9">
        <w:rPr>
          <w:rStyle w:val="Tugev"/>
          <w:rFonts w:cstheme="minorBidi"/>
          <w:b w:val="0"/>
          <w:bCs w:val="0"/>
        </w:rPr>
        <w:t xml:space="preserve"> tuleviku suhtes on enneolematult suur. Eesti</w:t>
      </w:r>
      <w:r w:rsidR="00134D51">
        <w:rPr>
          <w:rStyle w:val="Tugev"/>
          <w:rFonts w:cstheme="minorBidi"/>
          <w:b w:val="0"/>
          <w:bCs w:val="0"/>
        </w:rPr>
        <w:t>-</w:t>
      </w:r>
      <w:r w:rsidRPr="00F96DB9">
        <w:rPr>
          <w:rStyle w:val="Tugev"/>
          <w:rFonts w:cstheme="minorBidi"/>
          <w:b w:val="0"/>
          <w:bCs w:val="0"/>
        </w:rPr>
        <w:t>suguse väikese ja avatud majanduse puhul on prognoosi tegemise olulisimaks eelduseks väliskeskkond. Kui meie kaubanduspartnerite perspektiiv on hea, läheb ka Eesti majandusel hästi, kuna kohalik ärikeskkond on selleks üldiselt soodne. Veel aasta alguses oli selles osas väljavaa</w:t>
      </w:r>
      <w:r w:rsidR="00A05DAF">
        <w:rPr>
          <w:rStyle w:val="Tugev"/>
          <w:rFonts w:cstheme="minorBidi"/>
          <w:b w:val="0"/>
          <w:bCs w:val="0"/>
        </w:rPr>
        <w:t>de</w:t>
      </w:r>
      <w:r w:rsidRPr="00F96DB9">
        <w:rPr>
          <w:rStyle w:val="Tugev"/>
          <w:rFonts w:cstheme="minorBidi"/>
          <w:b w:val="0"/>
          <w:bCs w:val="0"/>
        </w:rPr>
        <w:t xml:space="preserve"> väga hea.</w:t>
      </w:r>
    </w:p>
    <w:p w14:paraId="382053D5" w14:textId="7E1F5EA8" w:rsidR="00963513" w:rsidRPr="00F96DB9" w:rsidRDefault="00963513" w:rsidP="00F96DB9">
      <w:pPr>
        <w:pStyle w:val="Phitekst"/>
        <w:rPr>
          <w:rStyle w:val="Tugev"/>
          <w:rFonts w:cstheme="minorBidi"/>
          <w:b w:val="0"/>
          <w:bCs w:val="0"/>
        </w:rPr>
      </w:pPr>
      <w:r w:rsidRPr="00F96DB9">
        <w:rPr>
          <w:rStyle w:val="Tugev"/>
          <w:rFonts w:cstheme="minorBidi"/>
          <w:b w:val="0"/>
          <w:bCs w:val="0"/>
        </w:rPr>
        <w:t xml:space="preserve">Nii nagu viirusekriisis, ei määra ka praegu majanduse arengut niivõrd majanduse sisemised toimemehhanismid, vaid majanduse </w:t>
      </w:r>
      <w:r w:rsidRPr="00F96DB9">
        <w:rPr>
          <w:rStyle w:val="Tugev"/>
        </w:rPr>
        <w:t>välised tegurid</w:t>
      </w:r>
      <w:r w:rsidRPr="00F96DB9">
        <w:rPr>
          <w:rStyle w:val="Tugev"/>
          <w:rFonts w:cstheme="minorBidi"/>
          <w:b w:val="0"/>
          <w:bCs w:val="0"/>
        </w:rPr>
        <w:t xml:space="preserve">, millega majandus kohandub. Kuna </w:t>
      </w:r>
      <w:r w:rsidRPr="00F96DB9">
        <w:rPr>
          <w:rStyle w:val="Tugev"/>
        </w:rPr>
        <w:t>geopoliitiline areng</w:t>
      </w:r>
      <w:r w:rsidRPr="00F96DB9">
        <w:rPr>
          <w:rStyle w:val="Tugev"/>
          <w:rFonts w:cstheme="minorBidi"/>
          <w:b w:val="0"/>
          <w:bCs w:val="0"/>
        </w:rPr>
        <w:t xml:space="preserve"> on prognoosi tegemise ajal olnud väga järsk ja kiire, siis ei ole võimalik kasutada uut geopoliitilist olukorda arvesse võtvaid numbrilisi prognoose Eesti kaubanduspartnerite kohta. Samasuguses teadmatuses tuleviku suhtes on kõik meie regiooni prognoosijad. Üldiselt on senised hinnangud kriisi mõjust EL majanduskasvule olnud pigem tagasihoidlikud, näiteks Euroopa Keskpank prognoosib kõige pessimistlikumas stsenaariumis euroala majanduskasvuks 2022. aastal 2,3%.</w:t>
      </w:r>
    </w:p>
    <w:p w14:paraId="4B3CF3A3" w14:textId="1EEAF338" w:rsidR="00963513" w:rsidRPr="00F96DB9" w:rsidRDefault="00963513" w:rsidP="00F96DB9">
      <w:pPr>
        <w:pStyle w:val="Phitekst"/>
        <w:rPr>
          <w:rStyle w:val="Tugev"/>
          <w:rFonts w:cstheme="minorBidi"/>
          <w:b w:val="0"/>
          <w:bCs w:val="0"/>
        </w:rPr>
      </w:pPr>
      <w:r w:rsidRPr="00F96DB9">
        <w:rPr>
          <w:rStyle w:val="Tugev"/>
          <w:rFonts w:cstheme="minorBidi"/>
          <w:b w:val="0"/>
          <w:bCs w:val="0"/>
        </w:rPr>
        <w:t xml:space="preserve">Kõige konkreetsemalt mõjutavad Eesti majandust vähemalt lähemas tulevikus erinevad </w:t>
      </w:r>
      <w:r w:rsidRPr="00F96DB9">
        <w:rPr>
          <w:rStyle w:val="Tugev"/>
        </w:rPr>
        <w:t xml:space="preserve">takistused kaubavahetuses </w:t>
      </w:r>
      <w:r w:rsidRPr="00F96DB9">
        <w:rPr>
          <w:rStyle w:val="Tugev"/>
          <w:rFonts w:cstheme="minorBidi"/>
          <w:b w:val="0"/>
          <w:bCs w:val="0"/>
        </w:rPr>
        <w:t xml:space="preserve">Venemaa, Valgevene ja Ukrainaga. Kuigi sanktsioneeritud kaupade nimekiri pole kuigi lai, lähtub prognoos mõnevõrra pessimistlikust eeldusest, et valdav osa nende kolme riigiga seotud ekspordist-impordist siiski katkeb ja uute turgude ning tarnijate leidmine võtab aega. Lisaks seadustatud piirangutele pärsivad kaubavahetust ka transpordiraskused ning takistused arvete tasumisel. Prognoosis eeldatakse, et </w:t>
      </w:r>
      <w:r w:rsidR="00271F27">
        <w:rPr>
          <w:rStyle w:val="Tugev"/>
          <w:rFonts w:cstheme="minorBidi"/>
          <w:b w:val="0"/>
          <w:bCs w:val="0"/>
        </w:rPr>
        <w:t>kaubanduspiirangud</w:t>
      </w:r>
      <w:r w:rsidRPr="00F96DB9">
        <w:rPr>
          <w:rStyle w:val="Tugev"/>
          <w:rFonts w:cstheme="minorBidi"/>
          <w:b w:val="0"/>
          <w:bCs w:val="0"/>
        </w:rPr>
        <w:t xml:space="preserve"> jäävad kehtima pikemaks ajaks, kuid ettevõtted kohanevad nendega aasta-paari jooksul uute turgude leidmise kaudu.</w:t>
      </w:r>
    </w:p>
    <w:p w14:paraId="7C5B8535" w14:textId="77777777" w:rsidR="00963513" w:rsidRPr="00F96DB9" w:rsidRDefault="00963513" w:rsidP="00F96DB9">
      <w:pPr>
        <w:pStyle w:val="Phitekst"/>
        <w:rPr>
          <w:rStyle w:val="Tugev"/>
          <w:rFonts w:cstheme="minorBidi"/>
          <w:b w:val="0"/>
          <w:bCs w:val="0"/>
        </w:rPr>
      </w:pPr>
      <w:r w:rsidRPr="00F96DB9">
        <w:rPr>
          <w:rStyle w:val="Tugev"/>
          <w:rFonts w:cstheme="minorBidi"/>
          <w:b w:val="0"/>
          <w:bCs w:val="0"/>
        </w:rPr>
        <w:t xml:space="preserve">Kui väliskaubanduse piirangute mõju Eesti majandusele on mingil määral numbriliselt hinnatav, siis </w:t>
      </w:r>
      <w:r w:rsidRPr="00F96DB9">
        <w:rPr>
          <w:rStyle w:val="Tugev"/>
        </w:rPr>
        <w:t>majanduskeskkonna ebastabiilsuse</w:t>
      </w:r>
      <w:r w:rsidRPr="00F96DB9">
        <w:rPr>
          <w:rStyle w:val="Tugev"/>
          <w:rFonts w:cstheme="minorBidi"/>
          <w:b w:val="0"/>
          <w:bCs w:val="0"/>
        </w:rPr>
        <w:t xml:space="preserve"> mõju tarbijate ja investorite otsustele lähemas ja kaugemas tulevikus on seniste sündmuste taustal varasemast palju keerulisem aimata. See sõltub eelkõige sõja käigust ja Venemaa edasistest sammudest oma „punaste joonte“ kehtestamisel. Selles plaanis on võimaluste diapasoon äärmiselt lai. Prognoosis on arvestatud mõnevõrra madalama tarbimis- ja investeerimisjulgusega ka pikemas plaanis, mis lisaks madalamale majandusaktiivsusele sellel aastal pärsib potentsiaalset kasvu ka edaspidi.</w:t>
      </w:r>
    </w:p>
    <w:p w14:paraId="5E125004" w14:textId="55DBBDAF" w:rsidR="00963513" w:rsidRPr="00F96DB9" w:rsidRDefault="00963513" w:rsidP="00F96DB9">
      <w:pPr>
        <w:pStyle w:val="Phitekst"/>
        <w:rPr>
          <w:rStyle w:val="Tugev"/>
          <w:rFonts w:cstheme="minorBidi"/>
          <w:b w:val="0"/>
          <w:bCs w:val="0"/>
        </w:rPr>
      </w:pPr>
      <w:r w:rsidRPr="00F96DB9">
        <w:rPr>
          <w:rStyle w:val="Tugev"/>
          <w:rFonts w:cstheme="minorBidi"/>
          <w:b w:val="0"/>
          <w:bCs w:val="0"/>
        </w:rPr>
        <w:t xml:space="preserve">Prognoosi oluliseks sisendiks on ka maailmaturgudel kujunevad toidu, toormete ja energiakandjate hinnad. Juba sügisest alates on nii </w:t>
      </w:r>
      <w:r w:rsidRPr="00F96DB9">
        <w:rPr>
          <w:rStyle w:val="Tugev"/>
        </w:rPr>
        <w:t xml:space="preserve">energiakandjate hetkehinnad </w:t>
      </w:r>
      <w:r w:rsidRPr="00F96DB9">
        <w:rPr>
          <w:rStyle w:val="Tugev"/>
          <w:rFonts w:cstheme="minorBidi"/>
          <w:b w:val="0"/>
          <w:bCs w:val="0"/>
        </w:rPr>
        <w:t>kui ka hindade tulevikuootused olnud tõusutrendil ja lisaks teinud läbi suuri kõikumisi, viidates tuleviku ebaselgusele. Energiakandjate hindade aluseks on võetud 10. märtsi tulevikutehingute tasemed, kus 2022. aasta keskmiseks nafta hinnaks on 100 USD/barrel ja elektri börsihind Nordpool Eesti hinnapiirkonnas on 157 €/MWh. Euroala inflatsiooniks prognoosib Euroopa Keskpank pessimistlikuimas stsenaariumis 2022. aasta</w:t>
      </w:r>
      <w:r w:rsidR="00F24E07">
        <w:rPr>
          <w:rStyle w:val="Tugev"/>
          <w:rFonts w:cstheme="minorBidi"/>
          <w:b w:val="0"/>
          <w:bCs w:val="0"/>
        </w:rPr>
        <w:t>ks</w:t>
      </w:r>
      <w:r w:rsidRPr="00F96DB9">
        <w:rPr>
          <w:rStyle w:val="Tugev"/>
          <w:rFonts w:cstheme="minorBidi"/>
          <w:b w:val="0"/>
          <w:bCs w:val="0"/>
        </w:rPr>
        <w:t xml:space="preserve"> 7,1%.</w:t>
      </w:r>
    </w:p>
    <w:p w14:paraId="36F07BA8" w14:textId="1C9B4F5C" w:rsidR="00C66CAB" w:rsidRPr="00F96DB9" w:rsidRDefault="00963513" w:rsidP="00F96DB9">
      <w:pPr>
        <w:pStyle w:val="Phitekst"/>
      </w:pPr>
      <w:r w:rsidRPr="00F96DB9">
        <w:rPr>
          <w:rStyle w:val="Tugev"/>
          <w:rFonts w:cstheme="minorBidi"/>
          <w:b w:val="0"/>
          <w:bCs w:val="0"/>
        </w:rPr>
        <w:t xml:space="preserve">Oluliseks eelduseks on alati ka </w:t>
      </w:r>
      <w:r w:rsidRPr="00F96DB9">
        <w:rPr>
          <w:rStyle w:val="Tugev"/>
        </w:rPr>
        <w:t>valitsuse poliitika</w:t>
      </w:r>
      <w:r w:rsidRPr="00F96DB9">
        <w:rPr>
          <w:rStyle w:val="Tugev"/>
          <w:rFonts w:cstheme="minorBidi"/>
          <w:b w:val="0"/>
          <w:bCs w:val="0"/>
        </w:rPr>
        <w:t>. Majandusprognoosi tegemise ajal alustas valitsus lisaeelarve koostamist seoses täiendavate kulutustega sõjapõgenikele, kaitsevõimele ja energiajulgeolekule. Kuna majandusprognoosi valmimise ajaks ei olnud lisaeelarve maht ja struktuur veel teada, siis sellega majandusprognoosis arvestatud ei ole. Lisaeelarve meetmete konkretiseerudes on täiendavad kulud (ja kaasnevad tulud) võimalik käesolevale prognoosile lisada.</w:t>
      </w:r>
    </w:p>
    <w:p w14:paraId="6D586D48" w14:textId="77777777" w:rsidR="000665B0" w:rsidRDefault="000665B0" w:rsidP="00A64262">
      <w:pPr>
        <w:jc w:val="both"/>
        <w:sectPr w:rsidR="000665B0" w:rsidSect="0093189D">
          <w:endnotePr>
            <w:numFmt w:val="decimal"/>
          </w:endnotePr>
          <w:type w:val="continuous"/>
          <w:pgSz w:w="11906" w:h="16838"/>
          <w:pgMar w:top="964" w:right="964" w:bottom="964" w:left="964" w:header="709" w:footer="709" w:gutter="0"/>
          <w:cols w:num="2" w:space="708"/>
          <w:docGrid w:linePitch="360"/>
        </w:sectPr>
      </w:pPr>
    </w:p>
    <w:p w14:paraId="2E3E4055" w14:textId="77777777" w:rsidR="001C02E9" w:rsidRDefault="001C02E9" w:rsidP="001C02E9">
      <w:pPr>
        <w:pStyle w:val="Phitekst"/>
      </w:pPr>
      <w:bookmarkStart w:id="31" w:name="_Toc62631814"/>
      <w:bookmarkStart w:id="32" w:name="_Toc64504535"/>
      <w:bookmarkStart w:id="33" w:name="_Toc18917246"/>
    </w:p>
    <w:p w14:paraId="5E4F5079" w14:textId="73D99267" w:rsidR="00152232" w:rsidRPr="005822EA" w:rsidRDefault="00152232" w:rsidP="00E66452">
      <w:pPr>
        <w:pStyle w:val="Pealkiri2"/>
        <w:jc w:val="both"/>
      </w:pPr>
      <w:bookmarkStart w:id="34" w:name="_Toc100230255"/>
      <w:r w:rsidRPr="005822EA">
        <w:lastRenderedPageBreak/>
        <w:t>M</w:t>
      </w:r>
      <w:r w:rsidR="004D0E9B">
        <w:t>akrom</w:t>
      </w:r>
      <w:r w:rsidRPr="005822EA">
        <w:t xml:space="preserve">ajanduse </w:t>
      </w:r>
      <w:r w:rsidR="00684FE1">
        <w:t>väljavaated</w:t>
      </w:r>
      <w:bookmarkEnd w:id="31"/>
      <w:bookmarkEnd w:id="32"/>
      <w:bookmarkEnd w:id="33"/>
      <w:bookmarkEnd w:id="34"/>
    </w:p>
    <w:p w14:paraId="23CF268C" w14:textId="37E6EA91" w:rsidR="00152232" w:rsidRPr="00E16539" w:rsidRDefault="00E16539" w:rsidP="00E66452">
      <w:pPr>
        <w:pStyle w:val="Alapunkt"/>
        <w:jc w:val="both"/>
      </w:pPr>
      <w:bookmarkStart w:id="35" w:name="_Toc18917247"/>
      <w:bookmarkStart w:id="36" w:name="_Toc62631815"/>
      <w:bookmarkStart w:id="37" w:name="_Toc64504536"/>
      <w:bookmarkStart w:id="38" w:name="_Toc64844880"/>
      <w:r w:rsidRPr="00E16539">
        <w:t>Väliskaubanduspiirangud ja ebakindluse kasv viivad Eesti majanduse 2022. aastal langusesse. Kiire hinnatõusu tõttu on majanduse rahaline maht siiski varem prognoositust suurem. Elanike reaalsissetulekud 2022. aastal vähenevad</w:t>
      </w:r>
      <w:r w:rsidR="00684FE1" w:rsidRPr="00E16539">
        <w:t>.</w:t>
      </w:r>
      <w:bookmarkEnd w:id="35"/>
      <w:bookmarkEnd w:id="36"/>
      <w:bookmarkEnd w:id="37"/>
      <w:bookmarkEnd w:id="38"/>
    </w:p>
    <w:p w14:paraId="5D06949C" w14:textId="77777777" w:rsidR="00D05292" w:rsidRPr="00E16539" w:rsidRDefault="00D05292" w:rsidP="00E66452">
      <w:pPr>
        <w:pStyle w:val="Alapunkt"/>
        <w:jc w:val="both"/>
        <w:rPr>
          <w:b/>
        </w:rPr>
        <w:sectPr w:rsidR="00D05292" w:rsidRPr="00E16539" w:rsidSect="00204A39">
          <w:endnotePr>
            <w:numFmt w:val="decimal"/>
          </w:endnotePr>
          <w:type w:val="continuous"/>
          <w:pgSz w:w="11906" w:h="16838"/>
          <w:pgMar w:top="964" w:right="964" w:bottom="964" w:left="964" w:header="709" w:footer="709" w:gutter="0"/>
          <w:cols w:space="708"/>
          <w:docGrid w:linePitch="360"/>
        </w:sectPr>
      </w:pPr>
    </w:p>
    <w:p w14:paraId="316DA20A" w14:textId="6A08D716" w:rsidR="00676898" w:rsidRPr="00F96DB9" w:rsidRDefault="00676898" w:rsidP="00F96DB9">
      <w:pPr>
        <w:pStyle w:val="Phitekst"/>
        <w:rPr>
          <w:rStyle w:val="Tugev"/>
          <w:rFonts w:cstheme="minorBidi"/>
          <w:b w:val="0"/>
          <w:bCs w:val="0"/>
        </w:rPr>
      </w:pPr>
      <w:r w:rsidRPr="00F96DB9">
        <w:rPr>
          <w:rStyle w:val="Tugev"/>
          <w:rFonts w:cstheme="minorBidi"/>
          <w:b w:val="0"/>
          <w:bCs w:val="0"/>
        </w:rPr>
        <w:t>Eesti majandus on pärast järsku langust 2020. aasta kevadel kenasti kosunud ja ületab oma tasemelt ka enne viirusekriisi tehtud prognoose. Jõulisele taastumisele on aidanud oluliselt kaasa info-side-sektor, mille pikalt kestnud kiire kasv aeglustus viirusekriisis vaid veidi. Eelmisel aastal taastusid kenasti ka veondus-laondus ja töötlev tööstus, mille kasvuperspektiiv oli veel paar kuud tagasi väga hea. 2022</w:t>
      </w:r>
      <w:r w:rsidR="00F24E07">
        <w:rPr>
          <w:rStyle w:val="Tugev"/>
          <w:rFonts w:cstheme="minorBidi"/>
          <w:b w:val="0"/>
          <w:bCs w:val="0"/>
        </w:rPr>
        <w:t>.</w:t>
      </w:r>
      <w:r w:rsidRPr="00F96DB9">
        <w:rPr>
          <w:rStyle w:val="Tugev"/>
          <w:rFonts w:cstheme="minorBidi"/>
          <w:b w:val="0"/>
          <w:bCs w:val="0"/>
        </w:rPr>
        <w:t xml:space="preserve"> aastal oleks võinud jalad alla saada ka turismisektor, kuid </w:t>
      </w:r>
      <w:r w:rsidR="00917E29">
        <w:rPr>
          <w:rStyle w:val="Tugev"/>
          <w:rFonts w:cstheme="minorBidi"/>
          <w:b w:val="0"/>
          <w:bCs w:val="0"/>
        </w:rPr>
        <w:t>geopoliitilised</w:t>
      </w:r>
      <w:r w:rsidRPr="00F96DB9">
        <w:rPr>
          <w:rStyle w:val="Tugev"/>
          <w:rFonts w:cstheme="minorBidi"/>
          <w:b w:val="0"/>
          <w:bCs w:val="0"/>
        </w:rPr>
        <w:t xml:space="preserve"> pinged meie regioonis heidutavad kaugemalt tulevad turistid taas eemale.</w:t>
      </w:r>
    </w:p>
    <w:p w14:paraId="1B22A9E9" w14:textId="150941EF" w:rsidR="00676898" w:rsidRPr="00F96DB9" w:rsidRDefault="00676898" w:rsidP="00F96DB9">
      <w:pPr>
        <w:pStyle w:val="Phitekst"/>
        <w:rPr>
          <w:rStyle w:val="Tugev"/>
          <w:rFonts w:cstheme="minorBidi"/>
          <w:b w:val="0"/>
          <w:bCs w:val="0"/>
        </w:rPr>
      </w:pPr>
      <w:r w:rsidRPr="00F96DB9">
        <w:rPr>
          <w:rStyle w:val="Tugev"/>
          <w:rFonts w:cstheme="minorBidi"/>
          <w:b w:val="0"/>
          <w:bCs w:val="0"/>
        </w:rPr>
        <w:t xml:space="preserve">Kõige otsesem mõju Eesti majandusele selles kriisis tuleb </w:t>
      </w:r>
      <w:r w:rsidRPr="00F96DB9">
        <w:rPr>
          <w:rStyle w:val="Tugev"/>
        </w:rPr>
        <w:t>väliskaubanduse</w:t>
      </w:r>
      <w:r w:rsidRPr="00F96DB9">
        <w:rPr>
          <w:rStyle w:val="Tugev"/>
          <w:rFonts w:cstheme="minorBidi"/>
          <w:b w:val="0"/>
          <w:bCs w:val="0"/>
        </w:rPr>
        <w:t xml:space="preserve"> piirangute kaudu. Prognoos lähtub kaubavahetuse katkemisest Vene-Valgevene-Ukraina suunal, mille</w:t>
      </w:r>
      <w:r w:rsidR="00917E29">
        <w:rPr>
          <w:rStyle w:val="Tugev"/>
          <w:rFonts w:cstheme="minorBidi"/>
          <w:b w:val="0"/>
          <w:bCs w:val="0"/>
        </w:rPr>
        <w:t>le</w:t>
      </w:r>
      <w:r w:rsidRPr="00F96DB9">
        <w:rPr>
          <w:rStyle w:val="Tugev"/>
          <w:rFonts w:cstheme="minorBidi"/>
          <w:b w:val="0"/>
          <w:bCs w:val="0"/>
        </w:rPr>
        <w:t xml:space="preserve"> lisandub ka Eesti ülejäänud kaubanduspartnerite tagasihoidlikum nõudlus seoses suurenenud ebakindluse ning tarneraskustega. Lisaks sellele pärsib lisandväärtuse loomist imporditud sisendite kiire hinnatõus. Seetõttu pöördub kaupade ja teenuste eksport 2022. aastal püsihindades kergesse langusesse. Ekspordi puhul on siiski olulisem rahaline väärtus ja kuna ekspordihindade kasv on oodatavalt üle kümne protsendi, siis ettevõtete eksporditulu suureneb siiski oluliselt. Paraku kallinevad imporditud tootmissisendid veelgi rohkem, mis kärbib kohalikku lisandväärtust. Prognoosi järgi õnnestub järgmise aasta jooksul Eesti ettevõtetel vabaneda sõltuvusest Vene</w:t>
      </w:r>
      <w:r w:rsidR="00F24E07">
        <w:rPr>
          <w:rStyle w:val="Tugev"/>
          <w:rFonts w:cstheme="minorBidi"/>
          <w:b w:val="0"/>
          <w:bCs w:val="0"/>
        </w:rPr>
        <w:t>maa</w:t>
      </w:r>
      <w:r w:rsidRPr="00F96DB9">
        <w:rPr>
          <w:rStyle w:val="Tugev"/>
          <w:rFonts w:cstheme="minorBidi"/>
          <w:b w:val="0"/>
          <w:bCs w:val="0"/>
        </w:rPr>
        <w:t xml:space="preserve"> ja Valgevene toormest ja turgudest ning eksport hakkab taastuma vastavalt peamiste ekspordipartnerite ja uute turgude arengule.</w:t>
      </w:r>
    </w:p>
    <w:p w14:paraId="16D0521F" w14:textId="0DF25B55" w:rsidR="00676898" w:rsidRPr="00F96DB9" w:rsidRDefault="00676898" w:rsidP="00F96DB9">
      <w:pPr>
        <w:pStyle w:val="Phitekst"/>
        <w:rPr>
          <w:rStyle w:val="Tugev"/>
          <w:rFonts w:cstheme="minorBidi"/>
          <w:b w:val="0"/>
          <w:bCs w:val="0"/>
        </w:rPr>
      </w:pPr>
      <w:r w:rsidRPr="00F96DB9">
        <w:rPr>
          <w:rStyle w:val="Tugev"/>
        </w:rPr>
        <w:t>Sisenõudluse</w:t>
      </w:r>
      <w:r w:rsidRPr="00F96DB9">
        <w:rPr>
          <w:rStyle w:val="Tugev"/>
          <w:rFonts w:cstheme="minorBidi"/>
          <w:b w:val="0"/>
          <w:bCs w:val="0"/>
        </w:rPr>
        <w:t xml:space="preserve"> kiirele kasvule eelmisel aastal järgneb 2022. aastal langus. Selle tingib ettevõtete </w:t>
      </w:r>
      <w:r w:rsidRPr="00F96DB9">
        <w:rPr>
          <w:rStyle w:val="Tugev"/>
        </w:rPr>
        <w:t>investeeringute</w:t>
      </w:r>
      <w:r w:rsidRPr="00F96DB9">
        <w:rPr>
          <w:rStyle w:val="Tugev"/>
          <w:rFonts w:cstheme="minorBidi"/>
          <w:b w:val="0"/>
          <w:bCs w:val="0"/>
        </w:rPr>
        <w:t xml:space="preserve"> selge vähenemine kahel põhjusel. Esiteks olid eelmisel aastal ettevõtete investeeringud paisutatud ajutise kuid väga suure investeeringu kaudu, mis aasta lõpus juba osaliselt realiseeriti. Teiseks on hinnatõus ehituses olnud väga kiire, mis sunnib planeeritud investeeringuid edasi lükkama. Kolmandaks ei soodusta sõjasündmused praegu pika tasuvusajaga projekt</w:t>
      </w:r>
      <w:r w:rsidR="00636EBA">
        <w:rPr>
          <w:rStyle w:val="Tugev"/>
          <w:rFonts w:cstheme="minorBidi"/>
          <w:b w:val="0"/>
          <w:bCs w:val="0"/>
        </w:rPr>
        <w:t>idega alustamist</w:t>
      </w:r>
      <w:r w:rsidRPr="00F96DB9">
        <w:rPr>
          <w:rStyle w:val="Tugev"/>
          <w:rFonts w:cstheme="minorBidi"/>
          <w:b w:val="0"/>
          <w:bCs w:val="0"/>
        </w:rPr>
        <w:t xml:space="preserve">, mis samuti soodustab juba kavandatud investeeringutega ootama olukorra </w:t>
      </w:r>
      <w:r w:rsidRPr="00F96DB9">
        <w:rPr>
          <w:rStyle w:val="Tugev"/>
          <w:rFonts w:cstheme="minorBidi"/>
          <w:b w:val="0"/>
          <w:bCs w:val="0"/>
        </w:rPr>
        <w:t>selginemiseni. Majapidamiste investeeringud, mis 2021. aastal uute korterite nappuse tõttu vähenesid, peaksid 2022. aastal selgelt kasvama, mis eeldab küll optimistlikku tulevikuvaadet. Seni selgeid märke korteriostjate ebakindlusest ei ole.</w:t>
      </w:r>
    </w:p>
    <w:p w14:paraId="50EB389E" w14:textId="04CAE2BC" w:rsidR="00676898" w:rsidRPr="00F96DB9" w:rsidRDefault="00676898" w:rsidP="00F96DB9">
      <w:pPr>
        <w:pStyle w:val="Phitekst"/>
        <w:rPr>
          <w:rStyle w:val="Tugev"/>
          <w:rFonts w:cstheme="minorBidi"/>
          <w:b w:val="0"/>
          <w:bCs w:val="0"/>
        </w:rPr>
      </w:pPr>
      <w:r w:rsidRPr="00F96DB9">
        <w:rPr>
          <w:rStyle w:val="Tugev"/>
        </w:rPr>
        <w:t>Eratarbimise</w:t>
      </w:r>
      <w:r w:rsidRPr="00F96DB9">
        <w:rPr>
          <w:rStyle w:val="Tugev"/>
          <w:rFonts w:cstheme="minorBidi"/>
          <w:b w:val="0"/>
          <w:bCs w:val="0"/>
        </w:rPr>
        <w:t xml:space="preserve"> kasv osutus 2021. aastal oodatust suuremaks, kuna septembris vabanenud pensioniraha kulutati suures koguses juba enne aasta lõppu. 2022. aastal on oodata eratarbimise </w:t>
      </w:r>
      <w:r w:rsidR="00636EBA">
        <w:rPr>
          <w:rStyle w:val="Tugev"/>
          <w:rFonts w:cstheme="minorBidi"/>
          <w:b w:val="0"/>
          <w:bCs w:val="0"/>
        </w:rPr>
        <w:t xml:space="preserve">reaalmahu </w:t>
      </w:r>
      <w:r w:rsidRPr="00F96DB9">
        <w:rPr>
          <w:rStyle w:val="Tugev"/>
          <w:rFonts w:cstheme="minorBidi"/>
          <w:b w:val="0"/>
          <w:bCs w:val="0"/>
        </w:rPr>
        <w:t xml:space="preserve">langust, kuigi tarbimiskulutused </w:t>
      </w:r>
      <w:r w:rsidR="009B3ACF">
        <w:rPr>
          <w:rStyle w:val="Tugev"/>
          <w:rFonts w:cstheme="minorBidi"/>
          <w:b w:val="0"/>
          <w:bCs w:val="0"/>
        </w:rPr>
        <w:t xml:space="preserve">eurodes </w:t>
      </w:r>
      <w:r w:rsidRPr="00F96DB9">
        <w:rPr>
          <w:rStyle w:val="Tugev"/>
          <w:rFonts w:cstheme="minorBidi"/>
          <w:b w:val="0"/>
          <w:bCs w:val="0"/>
        </w:rPr>
        <w:t xml:space="preserve">kasvavad. Kaupade ja teenuste tarbimise languse toob endaga kaasa kiirenev hinnatõus, mida ei suuda kompenseerida sissetulekute kasv. Üle kümne protsendi ulatuv tarbijahindade kasv ületab selgelt nii palgatulu kui </w:t>
      </w:r>
      <w:r w:rsidR="009B3ACF">
        <w:rPr>
          <w:rStyle w:val="Tugev"/>
          <w:rFonts w:cstheme="minorBidi"/>
          <w:b w:val="0"/>
          <w:bCs w:val="0"/>
        </w:rPr>
        <w:t xml:space="preserve">ka </w:t>
      </w:r>
      <w:r w:rsidRPr="00F96DB9">
        <w:rPr>
          <w:rStyle w:val="Tugev"/>
          <w:rFonts w:cstheme="minorBidi"/>
          <w:b w:val="0"/>
          <w:bCs w:val="0"/>
        </w:rPr>
        <w:t>pensionitulu kasvu. Prognoosi kohaselt kahandab ärevus idapiiri taga ka tarbijate kindlustunnet, mis pärast viirusekriisi aegset sügavat kukkumist on eelmise aasta teises pooles siiski kosunud. Lisaks kahandab kasvuvõimalusi eelmise aasta kõrge võrdlusbaas, mis oli mõjutatud suures mahus teise samba pensionivarade vabanemisest. Valitsussektori tarbimiskulutused on prognoosis vastavalt kehtivale riigieelarvele ja riigieelarve strateegiale, kuid kavandatav lisaeelarve suurendab neid ilmselt oluliselt.</w:t>
      </w:r>
    </w:p>
    <w:p w14:paraId="64035876" w14:textId="695A34BB" w:rsidR="00676898" w:rsidRPr="00F96DB9" w:rsidRDefault="00676898" w:rsidP="00F96DB9">
      <w:pPr>
        <w:pStyle w:val="Phitekst"/>
        <w:rPr>
          <w:rStyle w:val="Tugev"/>
          <w:rFonts w:cstheme="minorBidi"/>
          <w:b w:val="0"/>
          <w:bCs w:val="0"/>
        </w:rPr>
      </w:pPr>
      <w:r w:rsidRPr="00F96DB9">
        <w:rPr>
          <w:rStyle w:val="Tugev"/>
          <w:rFonts w:cstheme="minorBidi"/>
          <w:b w:val="0"/>
          <w:bCs w:val="0"/>
        </w:rPr>
        <w:t xml:space="preserve">Sõjategevusega kaasnenud energia- ja toorainehindade tõus kiirendab tarbijahindade kasvu </w:t>
      </w:r>
      <w:r w:rsidR="009B3ACF">
        <w:rPr>
          <w:rStyle w:val="Tugev"/>
          <w:rFonts w:cstheme="minorBidi"/>
          <w:b w:val="0"/>
          <w:bCs w:val="0"/>
        </w:rPr>
        <w:t>tänavu 12,7</w:t>
      </w:r>
      <w:r w:rsidRPr="00F96DB9">
        <w:rPr>
          <w:rStyle w:val="Tugev"/>
          <w:rFonts w:cstheme="minorBidi"/>
          <w:b w:val="0"/>
          <w:bCs w:val="0"/>
        </w:rPr>
        <w:t xml:space="preserve"> protsendi</w:t>
      </w:r>
      <w:r w:rsidR="009B3ACF">
        <w:rPr>
          <w:rStyle w:val="Tugev"/>
          <w:rFonts w:cstheme="minorBidi"/>
          <w:b w:val="0"/>
          <w:bCs w:val="0"/>
        </w:rPr>
        <w:t>ni</w:t>
      </w:r>
      <w:r w:rsidRPr="00F96DB9">
        <w:rPr>
          <w:rStyle w:val="Tugev"/>
          <w:rFonts w:cstheme="minorBidi"/>
          <w:b w:val="0"/>
          <w:bCs w:val="0"/>
        </w:rPr>
        <w:t>, millest poole annavad energiakandjad. Lisaks tõstab toidutoorme hindu Euroopa viljaaida võimetus kasvatada ja eksportida tarvapärases koguses põllumajandus</w:t>
      </w:r>
      <w:r w:rsidR="009B3ACF">
        <w:rPr>
          <w:rStyle w:val="Tugev"/>
          <w:rFonts w:cstheme="minorBidi"/>
          <w:b w:val="0"/>
          <w:bCs w:val="0"/>
        </w:rPr>
        <w:softHyphen/>
      </w:r>
      <w:r w:rsidRPr="00F96DB9">
        <w:rPr>
          <w:rStyle w:val="Tugev"/>
          <w:rFonts w:cstheme="minorBidi"/>
          <w:b w:val="0"/>
          <w:bCs w:val="0"/>
        </w:rPr>
        <w:t xml:space="preserve">saaduseid. Eestis on 2022. aastal oodata toidukorvi kallinemist kümnendiku võrra. Püsib ka eelmisel aastal kiirenenud tööstuskaupade hinnatõus, mis algas viirusekriisist tulenevate tarneraskustega ja mida võimendab nüüd erinevate tootmissisendite kiire hinnatõus. Energiahindade mõningane langus järgmisel aastal viib </w:t>
      </w:r>
      <w:r w:rsidRPr="00F96DB9">
        <w:rPr>
          <w:rStyle w:val="Tugev"/>
        </w:rPr>
        <w:t>tarbijahindade</w:t>
      </w:r>
      <w:r w:rsidRPr="00F96DB9">
        <w:rPr>
          <w:rStyle w:val="Tugev"/>
          <w:rFonts w:cstheme="minorBidi"/>
          <w:b w:val="0"/>
          <w:bCs w:val="0"/>
        </w:rPr>
        <w:t xml:space="preserve"> aastakasvu 2% lähedale ja sealt edasi veelgi madalamale.</w:t>
      </w:r>
    </w:p>
    <w:p w14:paraId="24C24906" w14:textId="07F434C8" w:rsidR="00676898" w:rsidRPr="00F96DB9" w:rsidRDefault="00676898" w:rsidP="00F96DB9">
      <w:pPr>
        <w:pStyle w:val="Phitekst"/>
        <w:rPr>
          <w:rStyle w:val="Tugev"/>
          <w:rFonts w:cstheme="minorBidi"/>
          <w:b w:val="0"/>
          <w:bCs w:val="0"/>
        </w:rPr>
      </w:pPr>
      <w:r w:rsidRPr="00F96DB9">
        <w:rPr>
          <w:rStyle w:val="Tugev"/>
        </w:rPr>
        <w:t>Tööturg</w:t>
      </w:r>
      <w:r w:rsidRPr="00F96DB9">
        <w:rPr>
          <w:rStyle w:val="Tugev"/>
          <w:rFonts w:cstheme="minorBidi"/>
          <w:b w:val="0"/>
          <w:bCs w:val="0"/>
        </w:rPr>
        <w:t xml:space="preserve"> on pärast koroonakriisi jõudsalt taastunud, mis on väljendunud nii hõivatute arvu suurenemises kui ka mõõdukalt kiire palgakasvu jätkumises. Senini </w:t>
      </w:r>
      <w:r w:rsidRPr="00F96DB9">
        <w:rPr>
          <w:rStyle w:val="Tugev"/>
          <w:rFonts w:cstheme="minorBidi"/>
          <w:b w:val="0"/>
          <w:bCs w:val="0"/>
        </w:rPr>
        <w:lastRenderedPageBreak/>
        <w:t>on turismisektori hõive jätkuvalt allpool kriisieelset taset, kuid koroonapiirangute leevenedes võiks käesoleval aastal oodata majutuses ja toitlustuses jõulisemat taastumist. Idasuunalise väliskaubanduse takistused võivad mõjutada 10 kuni 20</w:t>
      </w:r>
      <w:r w:rsidR="009B3ACF">
        <w:rPr>
          <w:rStyle w:val="Tugev"/>
          <w:rFonts w:cstheme="minorBidi"/>
          <w:b w:val="0"/>
          <w:bCs w:val="0"/>
        </w:rPr>
        <w:t> </w:t>
      </w:r>
      <w:r w:rsidRPr="00F96DB9">
        <w:rPr>
          <w:rStyle w:val="Tugev"/>
          <w:rFonts w:cstheme="minorBidi"/>
          <w:b w:val="0"/>
          <w:bCs w:val="0"/>
        </w:rPr>
        <w:t xml:space="preserve">tuhandet töötajat, valdavalt tööstuses, transpordis ning ehituses. Kui ettevõtted suudavad eksporditurgude ja toorme varustuskanalite osas kiirelt ümber orienteeruda, püsib tööturu reaktsioon mõõdukana ehk töötajaid hoitakse palgal </w:t>
      </w:r>
      <w:r w:rsidRPr="00F96DB9">
        <w:rPr>
          <w:rStyle w:val="Tugev"/>
          <w:rFonts w:cstheme="minorBidi"/>
          <w:b w:val="0"/>
          <w:bCs w:val="0"/>
        </w:rPr>
        <w:t>edasi ning vähendatakse ajutiselt töötunde. Kuna šokk on mõnede ettevõtete jaoks suur, siis arvestame põhistsenaariumis tööpuuduse kasvuga kahe protsendipunkti võrra praegusega võrreldes. Vaatamata halvenevale konjunktuurile hoiab jõuline hinnatõus palgasurved lähiajal kõrgena. Palgatulu ostujõud siiski väheneb käesoleval aastal ligikaudu viie protsendi võrra kahekohalise inflatsiooni tõttu.</w:t>
      </w:r>
    </w:p>
    <w:p w14:paraId="1FD6E94E" w14:textId="393503AC" w:rsidR="0037699E" w:rsidRDefault="0037699E" w:rsidP="00A805E9">
      <w:pPr>
        <w:pStyle w:val="Phitekst"/>
      </w:pPr>
    </w:p>
    <w:p w14:paraId="29CEF596" w14:textId="4BFC0EF7" w:rsidR="00A805E9" w:rsidRPr="005822EA" w:rsidRDefault="00A805E9" w:rsidP="006A5CB8">
      <w:pPr>
        <w:pStyle w:val="Phitekst"/>
        <w:sectPr w:rsidR="00A805E9" w:rsidRPr="005822EA" w:rsidSect="0093189D">
          <w:endnotePr>
            <w:numFmt w:val="decimal"/>
          </w:endnotePr>
          <w:type w:val="continuous"/>
          <w:pgSz w:w="11906" w:h="16838"/>
          <w:pgMar w:top="964" w:right="964" w:bottom="964" w:left="964" w:header="709" w:footer="709" w:gutter="0"/>
          <w:cols w:num="2" w:space="708"/>
          <w:docGrid w:linePitch="360"/>
        </w:sectPr>
      </w:pPr>
    </w:p>
    <w:p w14:paraId="76686EF6" w14:textId="77777777" w:rsidR="00B7291B" w:rsidRDefault="00B7291B" w:rsidP="00E66452">
      <w:pPr>
        <w:pStyle w:val="Pealkiri1"/>
        <w:ind w:left="432" w:hanging="432"/>
        <w:jc w:val="both"/>
        <w:sectPr w:rsidR="00B7291B" w:rsidSect="006E6E85">
          <w:endnotePr>
            <w:numFmt w:val="decimal"/>
          </w:endnotePr>
          <w:type w:val="continuous"/>
          <w:pgSz w:w="11906" w:h="16838"/>
          <w:pgMar w:top="964" w:right="964" w:bottom="964" w:left="964" w:header="709" w:footer="709" w:gutter="0"/>
          <w:cols w:space="708"/>
          <w:docGrid w:linePitch="360"/>
        </w:sectPr>
      </w:pPr>
      <w:bookmarkStart w:id="39" w:name="_Toc64504549"/>
      <w:bookmarkStart w:id="40" w:name="_Toc64844887"/>
      <w:bookmarkStart w:id="41" w:name="_Toc62631828"/>
    </w:p>
    <w:p w14:paraId="03B04EBE" w14:textId="10A724F8" w:rsidR="00037170" w:rsidRPr="004D66FE" w:rsidRDefault="00473A70" w:rsidP="00E66452">
      <w:pPr>
        <w:pStyle w:val="Pealkiri1"/>
        <w:ind w:left="432" w:hanging="432"/>
        <w:jc w:val="both"/>
      </w:pPr>
      <w:bookmarkStart w:id="42" w:name="_Toc100230256"/>
      <w:r w:rsidRPr="004D66FE">
        <w:lastRenderedPageBreak/>
        <w:t>RAHANDUSPROGNOOS</w:t>
      </w:r>
      <w:bookmarkEnd w:id="39"/>
      <w:bookmarkEnd w:id="40"/>
      <w:bookmarkEnd w:id="41"/>
      <w:bookmarkEnd w:id="42"/>
    </w:p>
    <w:p w14:paraId="55E322FC" w14:textId="3C148AC0" w:rsidR="00CF74C1" w:rsidRPr="004D66FE" w:rsidRDefault="00CF74C1" w:rsidP="00E66452">
      <w:pPr>
        <w:pStyle w:val="Pealkiri2"/>
        <w:jc w:val="both"/>
      </w:pPr>
      <w:bookmarkStart w:id="43" w:name="_Toc64504550"/>
      <w:bookmarkStart w:id="44" w:name="_Toc511130601"/>
      <w:bookmarkStart w:id="45" w:name="_Toc18917260"/>
      <w:bookmarkStart w:id="46" w:name="_Toc62631829"/>
      <w:bookmarkStart w:id="47" w:name="_Toc100230257"/>
      <w:r w:rsidRPr="004D66FE">
        <w:t>VALITSUSSEKTORI EELARVEPOSITSIOON</w:t>
      </w:r>
      <w:bookmarkEnd w:id="43"/>
      <w:bookmarkEnd w:id="47"/>
    </w:p>
    <w:p w14:paraId="11450BE6" w14:textId="48B8A5BC" w:rsidR="006E6E85" w:rsidRPr="005822EA" w:rsidRDefault="00676898" w:rsidP="006E6E85">
      <w:pPr>
        <w:pStyle w:val="Alapunkt"/>
        <w:rPr>
          <w:b/>
          <w:szCs w:val="26"/>
        </w:rPr>
        <w:sectPr w:rsidR="006E6E85" w:rsidRPr="005822EA" w:rsidSect="00B7291B">
          <w:endnotePr>
            <w:numFmt w:val="decimal"/>
          </w:endnotePr>
          <w:pgSz w:w="11906" w:h="16838"/>
          <w:pgMar w:top="964" w:right="964" w:bottom="964" w:left="964" w:header="709" w:footer="709" w:gutter="0"/>
          <w:cols w:space="708"/>
          <w:docGrid w:linePitch="360"/>
        </w:sectPr>
      </w:pPr>
      <w:bookmarkStart w:id="48" w:name="_Toc18917262"/>
      <w:bookmarkStart w:id="49" w:name="_Toc62631831"/>
      <w:bookmarkStart w:id="50" w:name="_Toc64504553"/>
      <w:bookmarkEnd w:id="44"/>
      <w:bookmarkEnd w:id="45"/>
      <w:bookmarkEnd w:id="46"/>
      <w:r w:rsidRPr="00676898">
        <w:t xml:space="preserve">Nominaalne </w:t>
      </w:r>
      <w:r w:rsidR="009B3ACF">
        <w:t>eelarve</w:t>
      </w:r>
      <w:r w:rsidRPr="00676898">
        <w:t>puudujääk suureneb sel aastal põgenike ja kaitsekulude tõttu. Edaspidi puudujääk väheneb, kuid tasakaaluni 2026. aastaks veel ei jõua</w:t>
      </w:r>
      <w:r w:rsidR="006E6E85" w:rsidRPr="005822EA">
        <w:t>.</w:t>
      </w:r>
    </w:p>
    <w:p w14:paraId="6426B206" w14:textId="2EC85087" w:rsidR="00676898" w:rsidRPr="00263CCC" w:rsidRDefault="00676898" w:rsidP="00676898">
      <w:pPr>
        <w:pStyle w:val="Phitekst"/>
        <w:rPr>
          <w:highlight w:val="yellow"/>
        </w:rPr>
      </w:pPr>
      <w:r w:rsidRPr="00263CCC">
        <w:t>2020. aastal langes valitsussektori eelarvepositsioon puhkenud Covid-19 pandeemia tõttu 1,</w:t>
      </w:r>
      <w:r w:rsidR="0073681C">
        <w:t>5</w:t>
      </w:r>
      <w:r w:rsidRPr="00263CCC">
        <w:t xml:space="preserve"> miljardi euro suurusesse puudujääki (5</w:t>
      </w:r>
      <w:r w:rsidR="0073681C">
        <w:t>,6</w:t>
      </w:r>
      <w:r w:rsidRPr="00263CCC">
        <w:t>% SKPst).</w:t>
      </w:r>
      <w:r w:rsidRPr="00B7291B">
        <w:rPr>
          <w:rStyle w:val="Tugev"/>
        </w:rPr>
        <w:t xml:space="preserve"> Möödunud aastal vähenes puudujääk majanduse kiire taastumise tulemusel 721 miljoni euroni (2,4% SKPst).</w:t>
      </w:r>
      <w:r w:rsidRPr="005C6E1E">
        <w:t xml:space="preserve"> </w:t>
      </w:r>
      <w:r w:rsidRPr="00263CCC">
        <w:t>Enim paranes sotsiaalkindlustusfondide positsioon (454 miljonit eurot), millest enamus tuli sellest, et 2021. aastal hüvitas Töötukassa koroonakriisis pihta saanud ettevõtete töötajatele saamata jäänud palka oluliselt vähem kui 2020. aastal. Kuid ka Haigekassa positsioon paranes oluliselt taastunud sotsiaalmaksu</w:t>
      </w:r>
      <w:r w:rsidR="0099647C">
        <w:t xml:space="preserve"> </w:t>
      </w:r>
      <w:r w:rsidRPr="00263CCC">
        <w:t xml:space="preserve">laekumise tõttu. Keskvalitsuse puudujääk vähenes </w:t>
      </w:r>
      <w:r w:rsidR="0073681C">
        <w:t xml:space="preserve">peamiselt </w:t>
      </w:r>
      <w:r w:rsidRPr="00263CCC">
        <w:t xml:space="preserve">tänu maksulaekumiste kasvule </w:t>
      </w:r>
      <w:r w:rsidR="0073681C">
        <w:t>451</w:t>
      </w:r>
      <w:r w:rsidRPr="00263CCC">
        <w:t xml:space="preserve"> miljoni euro võrra. Kohalikud omavalitsused suurendasid aga investeeringute mahtu ning tegevuskulusid, mis ületas tulude kasvu, mistõttu kohalike omavalitsuste koondpositsioon langes möödunud aastal 115 miljoni euro suurusesse puudujääki. </w:t>
      </w:r>
    </w:p>
    <w:p w14:paraId="3B8872DC" w14:textId="6F49C2B6" w:rsidR="00676898" w:rsidRDefault="00676898" w:rsidP="00676898">
      <w:pPr>
        <w:pStyle w:val="Phitekst"/>
      </w:pPr>
      <w:r w:rsidRPr="002E6E06">
        <w:t>Käesoleva aasta eelarvepositsioon on tugevalt mõjutatud Venemaa</w:t>
      </w:r>
      <w:r w:rsidR="0099647C">
        <w:t>-</w:t>
      </w:r>
      <w:r w:rsidRPr="002E6E06">
        <w:t>Ukraina</w:t>
      </w:r>
      <w:r w:rsidR="0099647C">
        <w:t xml:space="preserve"> </w:t>
      </w:r>
      <w:r w:rsidRPr="002E6E06">
        <w:t>sõjast</w:t>
      </w:r>
      <w:r>
        <w:t xml:space="preserve">, </w:t>
      </w:r>
      <w:r w:rsidRPr="00263CCC">
        <w:rPr>
          <w:rStyle w:val="Tugev"/>
        </w:rPr>
        <w:t>eelarvepuudujääk ulatub 1,</w:t>
      </w:r>
      <w:r w:rsidR="00754CA9" w:rsidRPr="00263CCC">
        <w:rPr>
          <w:rStyle w:val="Tugev"/>
        </w:rPr>
        <w:t>25</w:t>
      </w:r>
      <w:r w:rsidRPr="00263CCC">
        <w:rPr>
          <w:rStyle w:val="Tugev"/>
        </w:rPr>
        <w:t xml:space="preserve"> miljardi euroni ehk </w:t>
      </w:r>
      <w:r w:rsidR="00754CA9" w:rsidRPr="00263CCC">
        <w:rPr>
          <w:rStyle w:val="Tugev"/>
        </w:rPr>
        <w:t>3,8</w:t>
      </w:r>
      <w:r w:rsidRPr="00263CCC">
        <w:rPr>
          <w:rStyle w:val="Tugev"/>
        </w:rPr>
        <w:t>%ni SKPst.</w:t>
      </w:r>
      <w:r w:rsidRPr="002E6E06">
        <w:t xml:space="preserve"> </w:t>
      </w:r>
      <w:r>
        <w:t xml:space="preserve">Võrreldes eelmise prognoosiga on vähendatud maksutulude kasvu nii sel kui </w:t>
      </w:r>
      <w:r w:rsidR="0099647C">
        <w:t xml:space="preserve">ka </w:t>
      </w:r>
      <w:r>
        <w:t xml:space="preserve">järgmistel aastatel. Tänu </w:t>
      </w:r>
      <w:r w:rsidR="0099647C">
        <w:t xml:space="preserve">2021. </w:t>
      </w:r>
      <w:r>
        <w:t xml:space="preserve">aasta tugevale maksulaekumisele jääb selle aasta maksutulude tase aeglasemale kasvule vaatamata riigieelarves oodatud tasemele. Järgnevatel aastatel tulude kasv aeglustub. Täpsemalt on tuluprognoosi kajastatud järgmises peatükis. </w:t>
      </w:r>
    </w:p>
    <w:p w14:paraId="7CAB4439" w14:textId="2A91AEF8" w:rsidR="00676898" w:rsidRPr="00263CCC" w:rsidRDefault="00676898" w:rsidP="00263CCC">
      <w:pPr>
        <w:pStyle w:val="Phitekst"/>
      </w:pPr>
      <w:r w:rsidRPr="00263CCC">
        <w:t>Kulude tase kasvab sõja</w:t>
      </w:r>
      <w:r w:rsidR="0099647C">
        <w:t xml:space="preserve"> mõju</w:t>
      </w:r>
      <w:r w:rsidRPr="00263CCC">
        <w:t>st tingituna kõikidel valitsussektori tasanditel. Suurim koormus lisakulude kandmisel jääb riigieelarvele, kuhu lisandub julgeolekuga ning põgenikega seotud kulusid.</w:t>
      </w:r>
    </w:p>
    <w:p w14:paraId="51654AE6" w14:textId="77777777" w:rsidR="00676898" w:rsidRPr="00263CCC" w:rsidRDefault="00676898" w:rsidP="00263CCC">
      <w:pPr>
        <w:pStyle w:val="Phitekst"/>
        <w:rPr>
          <w:rStyle w:val="Tugev"/>
        </w:rPr>
      </w:pPr>
      <w:r w:rsidRPr="00263CCC">
        <w:rPr>
          <w:rStyle w:val="Tugev"/>
        </w:rPr>
        <w:t>Sotsiaalkindlustusfondide seis halveneb nii majandusolude kui ka sõjapõgenike tõttu.</w:t>
      </w:r>
    </w:p>
    <w:p w14:paraId="35F72DB3" w14:textId="0BEE60F9" w:rsidR="00676898" w:rsidRPr="00263CCC" w:rsidRDefault="00676898" w:rsidP="00676898">
      <w:pPr>
        <w:pStyle w:val="Phitekst"/>
      </w:pPr>
      <w:r w:rsidRPr="00263CCC">
        <w:rPr>
          <w:rStyle w:val="Tugev"/>
        </w:rPr>
        <w:t>Sotsiaalkindlustusfondide</w:t>
      </w:r>
      <w:r>
        <w:t xml:space="preserve"> </w:t>
      </w:r>
      <w:r w:rsidRPr="00263CCC">
        <w:t>sektorisse kuuluvad Eesti Haigekassa ja Eesti Töötukassa.</w:t>
      </w:r>
      <w:r>
        <w:t xml:space="preserve"> </w:t>
      </w:r>
      <w:r w:rsidRPr="00263CCC">
        <w:rPr>
          <w:rStyle w:val="Tugev"/>
        </w:rPr>
        <w:t>Haigekassa</w:t>
      </w:r>
      <w:r>
        <w:t xml:space="preserve"> </w:t>
      </w:r>
      <w:r w:rsidRPr="00263CCC">
        <w:t xml:space="preserve">jaoks oli 2021. aasta koroonakriisist mõjutatud, aga vähem </w:t>
      </w:r>
      <w:r w:rsidRPr="00263CCC">
        <w:t>kui 2020. aastal. Sotsiaalmaksu</w:t>
      </w:r>
      <w:r w:rsidR="0099647C">
        <w:t xml:space="preserve"> </w:t>
      </w:r>
      <w:r w:rsidRPr="00263CCC">
        <w:t>laekumine paranes oluliselt ning vähenesid kriisiga seotud kulutused, mida rahastati eraldisega lisaeelarvest. Kokkuvõttes oli aasta finantsiliselt algselt oodatust parem ning Haigekassa jäi 145 miljoni euro suurusesse ülejääki. 2020. aasta sügisel otsustas riik eraldada Haigekassale selle osa sotsiaalmaksulaekumise langusest tekkinud puudujäägist, mida Haigekassa oma reservireeglite järgi aastatel 2021-2024 katta ei saa. Sõjapõgenikega kaasnevad täiendavad kulud ja väiksem sotsiaalmaksu</w:t>
      </w:r>
      <w:r w:rsidR="0099647C">
        <w:t xml:space="preserve"> </w:t>
      </w:r>
      <w:r w:rsidRPr="00263CCC">
        <w:t>laekumine vähendavad käesoleval aastal ülejääki, mis jääb alla 0,1% SKPst. Ka järgmise</w:t>
      </w:r>
      <w:r w:rsidR="0099647C">
        <w:t xml:space="preserve">l </w:t>
      </w:r>
      <w:r w:rsidRPr="00263CCC">
        <w:t>ka</w:t>
      </w:r>
      <w:r w:rsidR="0099647C">
        <w:t xml:space="preserve">hel aastal </w:t>
      </w:r>
      <w:r w:rsidRPr="00263CCC">
        <w:t>on oodata väikest ülejääki. Keskvalitsus pole otsustanud tegevustoetus</w:t>
      </w:r>
      <w:r w:rsidR="0099647C">
        <w:t>e</w:t>
      </w:r>
      <w:r w:rsidRPr="00263CCC">
        <w:t xml:space="preserve"> jätku</w:t>
      </w:r>
      <w:r w:rsidR="0099647C">
        <w:t xml:space="preserve">mist </w:t>
      </w:r>
      <w:r w:rsidRPr="00263CCC">
        <w:t>2025. aastast, mistõttu on oodata ligi 0,2-0,3%</w:t>
      </w:r>
      <w:r w:rsidR="0099647C">
        <w:t xml:space="preserve"> SKPst</w:t>
      </w:r>
      <w:r w:rsidRPr="00263CCC">
        <w:t xml:space="preserve"> suurust puudujääki. See prognoos ei sisalda järgmistest tervishoiutöötajate kollektiiv</w:t>
      </w:r>
      <w:r w:rsidR="0099647C">
        <w:softHyphen/>
      </w:r>
      <w:r w:rsidRPr="00263CCC">
        <w:t>lepetest tulene</w:t>
      </w:r>
      <w:r w:rsidR="0099647C">
        <w:t>da või</w:t>
      </w:r>
      <w:r w:rsidRPr="00263CCC">
        <w:t>vaid lisakulusid ning kiire hinnatõusu mõju, mistõttu on Haigekassa finantsväljavaade pigem keeruline. Hinnangus on kasutatud Haigekassa 4 aasta finantsplaani, 2022. aasta riigieelarvet (kuid mitte käesoleva aasta lisaeelarvet), Sotsiaalkindlustusameti riigieelarvelise eraldise prognoosi ning Rahandusministeeriumi sotsiaalmaksu</w:t>
      </w:r>
      <w:r w:rsidR="0099647C">
        <w:t xml:space="preserve"> </w:t>
      </w:r>
      <w:r w:rsidRPr="00263CCC">
        <w:t>laekumise prognoosi.</w:t>
      </w:r>
    </w:p>
    <w:p w14:paraId="66A10531" w14:textId="0D4AC1B0" w:rsidR="00676898" w:rsidRDefault="00676898" w:rsidP="00676898">
      <w:pPr>
        <w:pStyle w:val="Phitekst"/>
      </w:pPr>
      <w:r w:rsidRPr="00263CCC">
        <w:rPr>
          <w:rStyle w:val="Tugev"/>
        </w:rPr>
        <w:t>Töötukassa</w:t>
      </w:r>
      <w:r>
        <w:t xml:space="preserve"> </w:t>
      </w:r>
      <w:r w:rsidRPr="00263CCC">
        <w:t>finantsseis o</w:t>
      </w:r>
      <w:r w:rsidR="00551DAD">
        <w:t>li</w:t>
      </w:r>
      <w:r w:rsidRPr="00263CCC">
        <w:t xml:space="preserve"> viimase</w:t>
      </w:r>
      <w:r w:rsidR="00551DAD">
        <w:t>l</w:t>
      </w:r>
      <w:r w:rsidRPr="00263CCC">
        <w:t xml:space="preserve"> ka</w:t>
      </w:r>
      <w:r w:rsidR="00551DAD">
        <w:t xml:space="preserve">hel aastal </w:t>
      </w:r>
      <w:r w:rsidRPr="00263CCC">
        <w:t>sarnaselt Haigekaasaga koroonakriisist tugevalt mõjutatud. 2021. aasta lõpetati 14 miljoni euro suuruses puudujäägis. Tavapärasest suuremaid kulutusi tehti kriisis suurenenud töötuse tõttu ka töötuskindlustushüvitistele. Suurenesid ka tegevuskulud. Sõjapõgenike ja halvenenud majandusliku väljavaate tõttu on Töötukassa käesoleva aasta finantsseis taaskord kehvem. Ootame käesoleval aastal puudujääki üle 0,3% SKPst ning püsivat puudujääki 0,2% SKPst prognoosihorisondi lõpuni. Töötukassa reservide maht väheneb 350 miljoni euro võrra 125 miljoni euroni. Hinnangus on kasutatud Töötukassa kulude kiirhinnangu</w:t>
      </w:r>
      <w:r w:rsidR="00551DAD">
        <w:t>t aastate</w:t>
      </w:r>
      <w:r w:rsidRPr="00263CCC">
        <w:t xml:space="preserve"> 2022-2026 kohta ning</w:t>
      </w:r>
      <w:r>
        <w:t xml:space="preserve"> </w:t>
      </w:r>
      <w:r w:rsidRPr="00263CCC">
        <w:lastRenderedPageBreak/>
        <w:t>Rahandusministeeriumi töötuskindlustusmakse laekumise prognoosi.</w:t>
      </w:r>
      <w:r>
        <w:t xml:space="preserve"> </w:t>
      </w:r>
    </w:p>
    <w:p w14:paraId="4A51087C" w14:textId="006C30A9" w:rsidR="00676898" w:rsidRPr="00263CCC" w:rsidRDefault="00676898" w:rsidP="00676898">
      <w:pPr>
        <w:pStyle w:val="Phitekst"/>
      </w:pPr>
      <w:r w:rsidRPr="00263CCC">
        <w:t>Ka</w:t>
      </w:r>
      <w:r>
        <w:t xml:space="preserve"> </w:t>
      </w:r>
      <w:r w:rsidRPr="00263CCC">
        <w:rPr>
          <w:rStyle w:val="Tugev"/>
        </w:rPr>
        <w:t>kohalike omavalitsuste</w:t>
      </w:r>
      <w:r>
        <w:t xml:space="preserve"> </w:t>
      </w:r>
      <w:r w:rsidRPr="00263CCC">
        <w:t>kulud kasvavad oluliselt kiiremini kui tulud. See on stsenaarium, mida 2021. a</w:t>
      </w:r>
      <w:r w:rsidR="00551DAD">
        <w:t>asta</w:t>
      </w:r>
      <w:r w:rsidRPr="00263CCC">
        <w:t xml:space="preserve"> suveprognoosis ei oodatud. Omavalitsuste kulude kasvu survestab </w:t>
      </w:r>
      <w:r w:rsidR="00551DAD">
        <w:t xml:space="preserve">nii tarbijahindade </w:t>
      </w:r>
      <w:r w:rsidRPr="00263CCC">
        <w:t>ja riigi keskmise palga tõus (prognoositav kasv 2022. a</w:t>
      </w:r>
      <w:r w:rsidR="00551DAD">
        <w:t>astal</w:t>
      </w:r>
      <w:r w:rsidRPr="00263CCC">
        <w:t xml:space="preserve"> vastavalt 12,7% ja 7,0%), energiakandjate kõrged hinnad kui ka sõjapõgenikega lisanduvad kulud. Samal ajal omavalitsuste põhitegevuse tulud kasvavad 2022. a</w:t>
      </w:r>
      <w:r w:rsidR="00551DAD">
        <w:t>astal</w:t>
      </w:r>
      <w:r w:rsidRPr="00263CCC">
        <w:t xml:space="preserve"> vaid 4,5%, mistõttu omavalitsuste põhitegevuse tulem (põhitegevuse tulude ja põhitegevuse kulude vahe) väheneb, ¼ võrra, jäädes alla 200 mln euro. Põhitegevuse tulemi langus vähendab nende võimalusi rahastada ja ellu viia investeeringuid ning suurendab vajadust laenuvahendite järele. Prognoositavalt suureneb omavalitsuste netovõlakoormus 2022. aastal 31%lt 35%le põhitegevuse tuludest. Omavalitsussektori eelarvedefitsiit on 2021. aastast üle 100 mln euro </w:t>
      </w:r>
      <w:r w:rsidRPr="00263CCC">
        <w:t>ning jääb sellele tasemele eeldatavasti ka eesoleval kolmel aastal.</w:t>
      </w:r>
    </w:p>
    <w:p w14:paraId="4C33597E" w14:textId="6526D29C" w:rsidR="00676898" w:rsidRPr="00FD334B" w:rsidRDefault="00676898" w:rsidP="00676898">
      <w:pPr>
        <w:pStyle w:val="Pealdis"/>
      </w:pPr>
      <w:bookmarkStart w:id="51" w:name="_Ref50326936"/>
      <w:bookmarkStart w:id="52" w:name="_Toc68514373"/>
      <w:bookmarkStart w:id="53" w:name="_Toc100230270"/>
      <w:r w:rsidRPr="00142779">
        <w:t xml:space="preserve">Joonis </w:t>
      </w:r>
      <w:fldSimple w:instr=" SEQ Joonis \* ARABIC ">
        <w:r w:rsidR="00486B68">
          <w:rPr>
            <w:noProof/>
          </w:rPr>
          <w:t>1</w:t>
        </w:r>
      </w:fldSimple>
      <w:bookmarkEnd w:id="51"/>
      <w:r w:rsidRPr="00142779">
        <w:t>.</w:t>
      </w:r>
      <w:r w:rsidRPr="00FD334B">
        <w:t xml:space="preserve"> Nominaalne eelarvepositsioon (%SKP)</w:t>
      </w:r>
      <w:bookmarkEnd w:id="52"/>
      <w:bookmarkEnd w:id="53"/>
    </w:p>
    <w:p w14:paraId="0D402003" w14:textId="4C91066E" w:rsidR="003C002C" w:rsidRPr="008B25B6" w:rsidRDefault="003C002C" w:rsidP="00676898">
      <w:pPr>
        <w:rPr>
          <w:highlight w:val="yellow"/>
        </w:rPr>
      </w:pPr>
      <w:r>
        <w:rPr>
          <w:noProof/>
          <w:lang w:eastAsia="et-EE"/>
        </w:rPr>
        <w:drawing>
          <wp:inline distT="0" distB="0" distL="0" distR="0" wp14:anchorId="72B08ED0" wp14:editId="2DC2AB01">
            <wp:extent cx="2819400" cy="1839191"/>
            <wp:effectExtent l="0" t="0" r="0" b="8890"/>
            <wp:docPr id="10" name="Diagramm 10">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313731" w14:textId="77777777" w:rsidR="00676898" w:rsidRPr="00EA0202" w:rsidRDefault="00676898" w:rsidP="00676898">
      <w:pPr>
        <w:pStyle w:val="Mrkus"/>
        <w:jc w:val="both"/>
        <w:rPr>
          <w:sz w:val="20"/>
        </w:rPr>
      </w:pPr>
      <w:r w:rsidRPr="00EA0202">
        <w:rPr>
          <w:sz w:val="20"/>
        </w:rPr>
        <w:t>Allikas: Statistikaamet, Rahandusministeerium</w:t>
      </w:r>
    </w:p>
    <w:p w14:paraId="231138D9" w14:textId="62AC2E19" w:rsidR="00676898" w:rsidRPr="00263CCC" w:rsidRDefault="00676898" w:rsidP="00263CCC">
      <w:pPr>
        <w:pStyle w:val="Phitekst"/>
      </w:pPr>
      <w:r w:rsidRPr="00263CCC">
        <w:rPr>
          <w:rStyle w:val="Tugev"/>
        </w:rPr>
        <w:t>Valitsussektori struktuurne eelarvepositsioon</w:t>
      </w:r>
      <w:r w:rsidRPr="00263CCC">
        <w:t xml:space="preserve"> </w:t>
      </w:r>
      <w:r w:rsidRPr="00263CCC">
        <w:rPr>
          <w:rStyle w:val="PhitekstChar"/>
          <w:rFonts w:asciiTheme="minorHAnsi" w:hAnsiTheme="minorHAnsi"/>
        </w:rPr>
        <w:t>on kogu prognoosiperioodi kestel puudujäägis, ulatudes sel aastal 3,</w:t>
      </w:r>
      <w:r w:rsidR="00754CA9" w:rsidRPr="00263CCC">
        <w:rPr>
          <w:rStyle w:val="PhitekstChar"/>
          <w:rFonts w:asciiTheme="minorHAnsi" w:hAnsiTheme="minorHAnsi"/>
        </w:rPr>
        <w:t>1</w:t>
      </w:r>
      <w:r w:rsidRPr="00263CCC">
        <w:rPr>
          <w:rStyle w:val="PhitekstChar"/>
          <w:rFonts w:asciiTheme="minorHAnsi" w:hAnsiTheme="minorHAnsi"/>
        </w:rPr>
        <w:t xml:space="preserve">%ni SKPst ning vähenedes 2026. aastaks </w:t>
      </w:r>
      <w:r w:rsidR="00754CA9" w:rsidRPr="00263CCC">
        <w:rPr>
          <w:rStyle w:val="PhitekstChar"/>
          <w:rFonts w:asciiTheme="minorHAnsi" w:hAnsiTheme="minorHAnsi"/>
        </w:rPr>
        <w:t>2,0</w:t>
      </w:r>
      <w:r w:rsidRPr="00263CCC">
        <w:rPr>
          <w:rStyle w:val="PhitekstChar"/>
          <w:rFonts w:asciiTheme="minorHAnsi" w:hAnsiTheme="minorHAnsi"/>
        </w:rPr>
        <w:t>%ni SKPst.</w:t>
      </w:r>
    </w:p>
    <w:p w14:paraId="3AD0562B" w14:textId="3FF6D042" w:rsidR="00A27F78" w:rsidRPr="00C156F6" w:rsidRDefault="00A27F78" w:rsidP="000C7A3D">
      <w:pPr>
        <w:pStyle w:val="Phitekst"/>
      </w:pPr>
    </w:p>
    <w:p w14:paraId="5C0B61EF" w14:textId="7A8AF570" w:rsidR="000C7A3D" w:rsidRPr="00C156F6" w:rsidRDefault="000C7A3D" w:rsidP="000C7A3D">
      <w:pPr>
        <w:pStyle w:val="Phitekst"/>
        <w:sectPr w:rsidR="000C7A3D" w:rsidRPr="00C156F6" w:rsidSect="0093189D">
          <w:endnotePr>
            <w:numFmt w:val="decimal"/>
          </w:endnotePr>
          <w:type w:val="continuous"/>
          <w:pgSz w:w="11906" w:h="16838"/>
          <w:pgMar w:top="964" w:right="964" w:bottom="964" w:left="964" w:header="709" w:footer="709" w:gutter="0"/>
          <w:cols w:num="2" w:space="708"/>
          <w:docGrid w:linePitch="360"/>
        </w:sectPr>
      </w:pPr>
    </w:p>
    <w:p w14:paraId="49EC4FF6" w14:textId="77777777" w:rsidR="00C74FB5" w:rsidRDefault="00C74FB5" w:rsidP="00C74FB5">
      <w:pPr>
        <w:pStyle w:val="Phitekst"/>
        <w:sectPr w:rsidR="00C74FB5" w:rsidSect="006E6E85">
          <w:footerReference w:type="default" r:id="rId19"/>
          <w:footerReference w:type="first" r:id="rId20"/>
          <w:endnotePr>
            <w:numFmt w:val="decimal"/>
          </w:endnotePr>
          <w:type w:val="continuous"/>
          <w:pgSz w:w="11906" w:h="16838"/>
          <w:pgMar w:top="964" w:right="964" w:bottom="964" w:left="964" w:header="709" w:footer="709" w:gutter="0"/>
          <w:cols w:space="708"/>
          <w:docGrid w:linePitch="360"/>
        </w:sectPr>
      </w:pPr>
      <w:bookmarkStart w:id="54" w:name="_Toc64504555"/>
      <w:bookmarkStart w:id="55" w:name="_Toc62631833"/>
      <w:bookmarkStart w:id="56" w:name="_Toc64847886"/>
      <w:bookmarkEnd w:id="48"/>
      <w:bookmarkEnd w:id="49"/>
      <w:bookmarkEnd w:id="50"/>
    </w:p>
    <w:p w14:paraId="3BDB835E" w14:textId="6D0F250C" w:rsidR="00E701CE" w:rsidRPr="001F7E78" w:rsidRDefault="00E701CE" w:rsidP="00E66452">
      <w:pPr>
        <w:pStyle w:val="Pealkiri2"/>
        <w:jc w:val="both"/>
      </w:pPr>
      <w:bookmarkStart w:id="57" w:name="_Toc100230258"/>
      <w:r w:rsidRPr="001F7E78">
        <w:lastRenderedPageBreak/>
        <w:t>VALITSUSSEKTORI TULUD</w:t>
      </w:r>
      <w:bookmarkEnd w:id="54"/>
      <w:bookmarkEnd w:id="55"/>
      <w:bookmarkEnd w:id="56"/>
      <w:r w:rsidR="00630E72">
        <w:t>E PROGNOOS</w:t>
      </w:r>
      <w:bookmarkEnd w:id="57"/>
    </w:p>
    <w:p w14:paraId="1B1ADD69" w14:textId="72B8C973" w:rsidR="00630E72" w:rsidRPr="005822EA" w:rsidRDefault="00676898" w:rsidP="00630E72">
      <w:pPr>
        <w:pStyle w:val="Alapunkt"/>
        <w:rPr>
          <w:b/>
          <w:szCs w:val="26"/>
        </w:rPr>
        <w:sectPr w:rsidR="00630E72" w:rsidRPr="005822EA" w:rsidSect="00C74FB5">
          <w:endnotePr>
            <w:numFmt w:val="decimal"/>
          </w:endnotePr>
          <w:pgSz w:w="11906" w:h="16838"/>
          <w:pgMar w:top="964" w:right="964" w:bottom="964" w:left="964" w:header="709" w:footer="709" w:gutter="0"/>
          <w:cols w:space="708"/>
          <w:docGrid w:linePitch="360"/>
        </w:sectPr>
      </w:pPr>
      <w:bookmarkStart w:id="58" w:name="_Toc18917266"/>
      <w:r w:rsidRPr="00676898">
        <w:t>Valitsussektori tulude kasv</w:t>
      </w:r>
      <w:r w:rsidR="00551DAD">
        <w:t xml:space="preserve">u soodustab </w:t>
      </w:r>
      <w:r w:rsidRPr="00676898">
        <w:t>kiire</w:t>
      </w:r>
      <w:r w:rsidR="00551DAD">
        <w:t xml:space="preserve"> </w:t>
      </w:r>
      <w:r w:rsidRPr="00676898">
        <w:t>inflatsioon</w:t>
      </w:r>
      <w:r w:rsidR="00630E72" w:rsidRPr="005822EA">
        <w:t>.</w:t>
      </w:r>
    </w:p>
    <w:p w14:paraId="55CF184C" w14:textId="670EEE33" w:rsidR="00E015FB" w:rsidRPr="00263CCC" w:rsidRDefault="00E015FB" w:rsidP="00263CCC">
      <w:pPr>
        <w:pStyle w:val="Phitekst"/>
      </w:pPr>
      <w:r w:rsidRPr="00263CCC">
        <w:rPr>
          <w:rStyle w:val="Tugev"/>
        </w:rPr>
        <w:t xml:space="preserve">2022. aasta Eesti valitsussektori tulude maht moodustab </w:t>
      </w:r>
      <w:r w:rsidR="00022BDA">
        <w:rPr>
          <w:rStyle w:val="Tugev"/>
        </w:rPr>
        <w:t>39,5</w:t>
      </w:r>
      <w:r w:rsidRPr="00263CCC">
        <w:rPr>
          <w:rStyle w:val="Tugev"/>
        </w:rPr>
        <w:t>% SKPst. Järgmisel aastal tulude osakaal SKPst kasvab pea 41% juurde ning edaspidi hakkab stabiilselt langema</w:t>
      </w:r>
      <w:r w:rsidRPr="00263CCC">
        <w:rPr>
          <w:rStyle w:val="Tugev"/>
          <w:rFonts w:cstheme="minorBidi"/>
          <w:b w:val="0"/>
          <w:bCs w:val="0"/>
        </w:rPr>
        <w:t xml:space="preserve"> </w:t>
      </w:r>
      <w:r w:rsidR="005D3C54">
        <w:rPr>
          <w:rStyle w:val="Tugev"/>
          <w:rFonts w:cstheme="minorBidi"/>
          <w:b w:val="0"/>
          <w:bCs w:val="0"/>
        </w:rPr>
        <w:t>(</w:t>
      </w:r>
      <w:r w:rsidR="005D3C54">
        <w:rPr>
          <w:rStyle w:val="Tugev"/>
          <w:rFonts w:cstheme="minorBidi"/>
          <w:b w:val="0"/>
          <w:bCs w:val="0"/>
        </w:rPr>
        <w:fldChar w:fldCharType="begin"/>
      </w:r>
      <w:r w:rsidR="005D3C54">
        <w:rPr>
          <w:rStyle w:val="Tugev"/>
          <w:rFonts w:cstheme="minorBidi"/>
          <w:b w:val="0"/>
          <w:bCs w:val="0"/>
        </w:rPr>
        <w:instrText xml:space="preserve"> REF _Ref81862905 \h </w:instrText>
      </w:r>
      <w:r w:rsidR="005D3C54">
        <w:rPr>
          <w:rStyle w:val="Tugev"/>
          <w:rFonts w:cstheme="minorBidi"/>
          <w:b w:val="0"/>
          <w:bCs w:val="0"/>
        </w:rPr>
      </w:r>
      <w:r w:rsidR="005D3C54">
        <w:rPr>
          <w:rStyle w:val="Tugev"/>
          <w:rFonts w:cstheme="minorBidi"/>
          <w:b w:val="0"/>
          <w:bCs w:val="0"/>
        </w:rPr>
        <w:fldChar w:fldCharType="separate"/>
      </w:r>
      <w:r w:rsidR="002F2507" w:rsidRPr="00E748FA">
        <w:t>Tabel</w:t>
      </w:r>
      <w:r w:rsidR="002F2507" w:rsidRPr="00E748FA">
        <w:t xml:space="preserve"> </w:t>
      </w:r>
      <w:r w:rsidR="002F2507">
        <w:rPr>
          <w:noProof/>
        </w:rPr>
        <w:t>10</w:t>
      </w:r>
      <w:r w:rsidR="005D3C54">
        <w:rPr>
          <w:rStyle w:val="Tugev"/>
          <w:rFonts w:cstheme="minorBidi"/>
          <w:b w:val="0"/>
          <w:bCs w:val="0"/>
        </w:rPr>
        <w:fldChar w:fldCharType="end"/>
      </w:r>
      <w:r w:rsidR="00022BDA">
        <w:rPr>
          <w:rStyle w:val="Tugev"/>
          <w:rFonts w:cstheme="minorBidi"/>
          <w:b w:val="0"/>
          <w:bCs w:val="0"/>
        </w:rPr>
        <w:t>, Lisa 4</w:t>
      </w:r>
      <w:r w:rsidR="005D3C54">
        <w:rPr>
          <w:rStyle w:val="Tugev"/>
          <w:rFonts w:cstheme="minorBidi"/>
          <w:b w:val="0"/>
          <w:bCs w:val="0"/>
        </w:rPr>
        <w:t>)</w:t>
      </w:r>
      <w:r w:rsidRPr="00263CCC">
        <w:rPr>
          <w:rStyle w:val="Tugev"/>
          <w:rFonts w:cstheme="minorBidi"/>
          <w:b w:val="0"/>
          <w:bCs w:val="0"/>
        </w:rPr>
        <w:t>.</w:t>
      </w:r>
    </w:p>
    <w:p w14:paraId="558EDB9B" w14:textId="2DDBFA5C" w:rsidR="00676898" w:rsidRPr="00263CCC" w:rsidRDefault="00E015FB" w:rsidP="00263CCC">
      <w:pPr>
        <w:pStyle w:val="Phitekst"/>
      </w:pPr>
      <w:r w:rsidRPr="00263CCC">
        <w:rPr>
          <w:rStyle w:val="Tugev"/>
          <w:rFonts w:cstheme="minorBidi"/>
          <w:b w:val="0"/>
          <w:bCs w:val="0"/>
        </w:rPr>
        <w:t xml:space="preserve">Valitsussektori tulude </w:t>
      </w:r>
      <w:r w:rsidRPr="00263CCC">
        <w:rPr>
          <w:rStyle w:val="Tugev"/>
        </w:rPr>
        <w:t>olulisim</w:t>
      </w:r>
      <w:r w:rsidR="00917E29">
        <w:rPr>
          <w:rStyle w:val="Tugev"/>
        </w:rPr>
        <w:t>a</w:t>
      </w:r>
      <w:r w:rsidRPr="00263CCC">
        <w:rPr>
          <w:rStyle w:val="Tugev"/>
        </w:rPr>
        <w:t xml:space="preserve"> osa </w:t>
      </w:r>
      <w:r w:rsidR="00917E29">
        <w:rPr>
          <w:rStyle w:val="Tugev"/>
        </w:rPr>
        <w:t xml:space="preserve">moodustavad </w:t>
      </w:r>
      <w:r w:rsidRPr="00263CCC">
        <w:rPr>
          <w:rStyle w:val="Tugev"/>
        </w:rPr>
        <w:t>riigieelarve</w:t>
      </w:r>
      <w:r w:rsidR="00917E29">
        <w:rPr>
          <w:rStyle w:val="Tugev"/>
        </w:rPr>
        <w:t xml:space="preserve"> tulud</w:t>
      </w:r>
      <w:r w:rsidRPr="00263CCC">
        <w:rPr>
          <w:rStyle w:val="Tugev"/>
        </w:rPr>
        <w:t xml:space="preserve">, </w:t>
      </w:r>
      <w:r w:rsidR="00917E29">
        <w:rPr>
          <w:rStyle w:val="Tugev"/>
        </w:rPr>
        <w:t>mis</w:t>
      </w:r>
      <w:r w:rsidRPr="00263CCC">
        <w:rPr>
          <w:rStyle w:val="Tugev"/>
        </w:rPr>
        <w:t xml:space="preserve">tõttu on järgnevalt selgitatud täiendavalt riigieelarve tulude peamiseid </w:t>
      </w:r>
      <w:r w:rsidRPr="00263CCC">
        <w:rPr>
          <w:rStyle w:val="Tugev"/>
        </w:rPr>
        <w:t>muutuseid</w:t>
      </w:r>
      <w:r w:rsidRPr="00263CCC">
        <w:rPr>
          <w:rStyle w:val="Tugev"/>
          <w:rFonts w:cstheme="minorBidi"/>
          <w:b w:val="0"/>
          <w:bCs w:val="0"/>
        </w:rPr>
        <w:t>.</w:t>
      </w:r>
      <w:r w:rsidRPr="00263CCC">
        <w:t xml:space="preserve"> Riigieelarve tulude maht suureneb tänavu eelmise aastaga võrreldes 7,</w:t>
      </w:r>
      <w:r w:rsidR="00D005C3">
        <w:t>3</w:t>
      </w:r>
      <w:r w:rsidRPr="00263CCC">
        <w:t>% 13 2</w:t>
      </w:r>
      <w:r w:rsidR="00D005C3">
        <w:t>07</w:t>
      </w:r>
      <w:r w:rsidRPr="00263CCC">
        <w:t> mln euroni (</w:t>
      </w:r>
      <w:r w:rsidR="00284932" w:rsidRPr="00263CCC">
        <w:fldChar w:fldCharType="begin"/>
      </w:r>
      <w:r w:rsidR="00284932" w:rsidRPr="00263CCC">
        <w:instrText xml:space="preserve"> REF _Ref100012710 \h </w:instrText>
      </w:r>
      <w:r w:rsidR="00263CCC" w:rsidRPr="00263CCC">
        <w:instrText xml:space="preserve"> \* MERGEFORMAT </w:instrText>
      </w:r>
      <w:r w:rsidR="00284932" w:rsidRPr="00263CCC">
        <w:fldChar w:fldCharType="separate"/>
      </w:r>
      <w:r w:rsidR="005D3C54" w:rsidRPr="0064330D">
        <w:t xml:space="preserve">Tabel </w:t>
      </w:r>
      <w:r w:rsidR="005D3C54">
        <w:t>2</w:t>
      </w:r>
      <w:r w:rsidR="00284932" w:rsidRPr="00263CCC">
        <w:fldChar w:fldCharType="end"/>
      </w:r>
      <w:r w:rsidRPr="00263CCC">
        <w:t xml:space="preserve">). Riigieelarve tulud on esitatud tekkepõhiselt. Detailsemad andmed on esitatud </w:t>
      </w:r>
      <w:r w:rsidR="00022BDA">
        <w:t>l</w:t>
      </w:r>
      <w:r w:rsidRPr="00263CCC">
        <w:t xml:space="preserve">isades </w:t>
      </w:r>
      <w:r w:rsidR="005D3C54">
        <w:t>(</w:t>
      </w:r>
      <w:r w:rsidR="005D3C54">
        <w:fldChar w:fldCharType="begin"/>
      </w:r>
      <w:r w:rsidR="005D3C54">
        <w:instrText xml:space="preserve"> REF _Ref511649101 \h </w:instrText>
      </w:r>
      <w:r w:rsidR="005D3C54">
        <w:fldChar w:fldCharType="separate"/>
      </w:r>
      <w:r w:rsidR="005D3C54" w:rsidRPr="00687E27">
        <w:t xml:space="preserve">Tabel </w:t>
      </w:r>
      <w:r w:rsidR="005D3C54">
        <w:rPr>
          <w:noProof/>
        </w:rPr>
        <w:t>13</w:t>
      </w:r>
      <w:r w:rsidR="005D3C54">
        <w:fldChar w:fldCharType="end"/>
      </w:r>
      <w:r w:rsidR="00022BDA">
        <w:t>, Lisa 4</w:t>
      </w:r>
      <w:r w:rsidR="005D3C54">
        <w:t>)</w:t>
      </w:r>
      <w:r w:rsidRPr="00263CCC">
        <w:t xml:space="preserve">. Täiendavat infot </w:t>
      </w:r>
      <w:r w:rsidR="00DC6C0F" w:rsidRPr="00263CCC">
        <w:t xml:space="preserve">maksumuudatuste </w:t>
      </w:r>
      <w:r w:rsidRPr="00263CCC">
        <w:t xml:space="preserve">ja </w:t>
      </w:r>
      <w:r w:rsidR="00DC6C0F" w:rsidRPr="00263CCC">
        <w:t xml:space="preserve">maksutulu mõjutavate maksukulude kohta </w:t>
      </w:r>
      <w:r w:rsidRPr="00263CCC">
        <w:t xml:space="preserve">saab samuti </w:t>
      </w:r>
      <w:r w:rsidR="00022BDA">
        <w:t>l</w:t>
      </w:r>
      <w:r w:rsidRPr="00263CCC">
        <w:t>isast</w:t>
      </w:r>
      <w:r w:rsidR="00022BDA">
        <w:t xml:space="preserve"> 4</w:t>
      </w:r>
      <w:r w:rsidRPr="00263CCC">
        <w:t xml:space="preserve">, vastavalt </w:t>
      </w:r>
      <w:r w:rsidR="00B80522" w:rsidRPr="00263CCC">
        <w:fldChar w:fldCharType="begin"/>
      </w:r>
      <w:r w:rsidR="00B80522" w:rsidRPr="00263CCC">
        <w:instrText xml:space="preserve"> REF _Ref511397834 \h  \* MERGEFORMAT </w:instrText>
      </w:r>
      <w:r w:rsidR="00B80522" w:rsidRPr="00263CCC">
        <w:fldChar w:fldCharType="separate"/>
      </w:r>
      <w:r w:rsidR="005D3C54" w:rsidRPr="00EF2257">
        <w:t xml:space="preserve">Tabel </w:t>
      </w:r>
      <w:r w:rsidR="005D3C54">
        <w:t>14</w:t>
      </w:r>
      <w:r w:rsidR="00B80522" w:rsidRPr="00263CCC">
        <w:fldChar w:fldCharType="end"/>
      </w:r>
      <w:r w:rsidRPr="00263CCC">
        <w:t xml:space="preserve"> ja </w:t>
      </w:r>
      <w:r w:rsidR="00B80522" w:rsidRPr="00263CCC">
        <w:fldChar w:fldCharType="begin"/>
      </w:r>
      <w:r w:rsidR="00B80522" w:rsidRPr="00263CCC">
        <w:instrText xml:space="preserve"> REF _Ref511054503 \h  \* MERGEFORMAT </w:instrText>
      </w:r>
      <w:r w:rsidR="00B80522" w:rsidRPr="00263CCC">
        <w:fldChar w:fldCharType="separate"/>
      </w:r>
      <w:r w:rsidR="005D3C54" w:rsidRPr="00AB2C28">
        <w:t xml:space="preserve">Tabel </w:t>
      </w:r>
      <w:r w:rsidR="005D3C54">
        <w:t>15</w:t>
      </w:r>
      <w:r w:rsidR="00B80522" w:rsidRPr="00263CCC">
        <w:fldChar w:fldCharType="end"/>
      </w:r>
      <w:r w:rsidR="00263CCC" w:rsidRPr="00263CCC">
        <w:t>.</w:t>
      </w:r>
    </w:p>
    <w:p w14:paraId="02C18224" w14:textId="77777777" w:rsidR="00B7291B" w:rsidRDefault="00B7291B" w:rsidP="00E015FB">
      <w:pPr>
        <w:pStyle w:val="Pealdis"/>
        <w:spacing w:before="240"/>
        <w:jc w:val="both"/>
        <w:rPr>
          <w:highlight w:val="yellow"/>
        </w:rPr>
        <w:sectPr w:rsidR="00B7291B" w:rsidSect="00B7291B">
          <w:footerReference w:type="default" r:id="rId21"/>
          <w:footerReference w:type="first" r:id="rId22"/>
          <w:endnotePr>
            <w:numFmt w:val="decimal"/>
          </w:endnotePr>
          <w:type w:val="continuous"/>
          <w:pgSz w:w="11906" w:h="16838"/>
          <w:pgMar w:top="964" w:right="964" w:bottom="964" w:left="964" w:header="709" w:footer="709" w:gutter="0"/>
          <w:cols w:num="2" w:space="708"/>
          <w:docGrid w:linePitch="360"/>
        </w:sectPr>
      </w:pPr>
      <w:bookmarkStart w:id="59" w:name="_Ref511514849"/>
      <w:bookmarkStart w:id="60" w:name="_Toc4502654"/>
      <w:bookmarkStart w:id="61" w:name="_Ref81834948"/>
      <w:bookmarkStart w:id="62" w:name="_Toc82084228"/>
    </w:p>
    <w:p w14:paraId="7C75A9FE" w14:textId="7FA9D372" w:rsidR="00E015FB" w:rsidRPr="004062C5" w:rsidRDefault="00E015FB" w:rsidP="00E015FB">
      <w:pPr>
        <w:pStyle w:val="Pealdis"/>
        <w:spacing w:before="240"/>
        <w:jc w:val="both"/>
      </w:pPr>
      <w:bookmarkStart w:id="63" w:name="_Ref100012710"/>
      <w:bookmarkStart w:id="64" w:name="_Toc100230287"/>
      <w:r w:rsidRPr="0064330D">
        <w:t xml:space="preserve">Tabel </w:t>
      </w:r>
      <w:r w:rsidRPr="0064330D">
        <w:rPr>
          <w:noProof/>
        </w:rPr>
        <w:fldChar w:fldCharType="begin"/>
      </w:r>
      <w:r w:rsidRPr="0064330D">
        <w:rPr>
          <w:noProof/>
        </w:rPr>
        <w:instrText xml:space="preserve"> SEQ Tabel \* ARABIC </w:instrText>
      </w:r>
      <w:r w:rsidRPr="0064330D">
        <w:rPr>
          <w:noProof/>
        </w:rPr>
        <w:fldChar w:fldCharType="separate"/>
      </w:r>
      <w:r w:rsidR="006014DB">
        <w:rPr>
          <w:noProof/>
        </w:rPr>
        <w:t>2</w:t>
      </w:r>
      <w:r w:rsidRPr="0064330D">
        <w:rPr>
          <w:noProof/>
        </w:rPr>
        <w:fldChar w:fldCharType="end"/>
      </w:r>
      <w:bookmarkEnd w:id="59"/>
      <w:bookmarkEnd w:id="63"/>
      <w:r w:rsidRPr="0064330D">
        <w:t>. 2019.-</w:t>
      </w:r>
      <w:r w:rsidRPr="004062C5">
        <w:t xml:space="preserve">2026. aasta riigieelarve tulude </w:t>
      </w:r>
      <w:r w:rsidR="000C04EE">
        <w:t>areng</w:t>
      </w:r>
      <w:r w:rsidRPr="004062C5">
        <w:t xml:space="preserve"> (mln eurot)</w:t>
      </w:r>
      <w:bookmarkEnd w:id="60"/>
      <w:bookmarkEnd w:id="61"/>
      <w:bookmarkEnd w:id="62"/>
      <w:bookmarkEnd w:id="64"/>
    </w:p>
    <w:tbl>
      <w:tblPr>
        <w:tblStyle w:val="Peentabel1"/>
        <w:tblW w:w="10071" w:type="dxa"/>
        <w:tblLayout w:type="fixed"/>
        <w:tblLook w:val="04A0" w:firstRow="1" w:lastRow="0" w:firstColumn="1" w:lastColumn="0" w:noHBand="0" w:noVBand="1"/>
      </w:tblPr>
      <w:tblGrid>
        <w:gridCol w:w="2518"/>
        <w:gridCol w:w="944"/>
        <w:gridCol w:w="944"/>
        <w:gridCol w:w="944"/>
        <w:gridCol w:w="944"/>
        <w:gridCol w:w="944"/>
        <w:gridCol w:w="944"/>
        <w:gridCol w:w="944"/>
        <w:gridCol w:w="945"/>
      </w:tblGrid>
      <w:tr w:rsidR="00E015FB" w:rsidRPr="00BC6157" w14:paraId="5AD6724A" w14:textId="77777777" w:rsidTr="00325CF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hideMark/>
          </w:tcPr>
          <w:p w14:paraId="490774A7" w14:textId="77777777" w:rsidR="00E015FB" w:rsidRPr="00BC6157" w:rsidRDefault="00E015FB" w:rsidP="00325CF0">
            <w:pPr>
              <w:spacing w:after="0"/>
              <w:rPr>
                <w:rFonts w:ascii="Segoe UI Light" w:hAnsi="Segoe UI Light"/>
                <w:color w:val="000000"/>
              </w:rPr>
            </w:pPr>
            <w:r w:rsidRPr="00BC6157">
              <w:rPr>
                <w:rFonts w:ascii="Segoe UI Light" w:hAnsi="Segoe UI Light"/>
                <w:color w:val="000000"/>
              </w:rPr>
              <w:t> </w:t>
            </w:r>
          </w:p>
        </w:tc>
        <w:tc>
          <w:tcPr>
            <w:tcW w:w="944" w:type="dxa"/>
          </w:tcPr>
          <w:p w14:paraId="3E12FC6A" w14:textId="77777777" w:rsidR="00E015FB" w:rsidRPr="0049714C" w:rsidRDefault="00E015FB" w:rsidP="005C246A">
            <w:pPr>
              <w:pStyle w:val="Tabelid"/>
              <w:jc w:val="right"/>
              <w:cnfStyle w:val="100000000000" w:firstRow="1" w:lastRow="0" w:firstColumn="0" w:lastColumn="0" w:oddVBand="0" w:evenVBand="0" w:oddHBand="0" w:evenHBand="0" w:firstRowFirstColumn="0" w:firstRowLastColumn="0" w:lastRowFirstColumn="0" w:lastRowLastColumn="0"/>
            </w:pPr>
            <w:r w:rsidRPr="0049714C">
              <w:t>2019</w:t>
            </w:r>
          </w:p>
        </w:tc>
        <w:tc>
          <w:tcPr>
            <w:tcW w:w="944" w:type="dxa"/>
          </w:tcPr>
          <w:p w14:paraId="796A4EDD" w14:textId="77777777" w:rsidR="00E015FB" w:rsidRPr="0049714C" w:rsidRDefault="00E015FB" w:rsidP="005C246A">
            <w:pPr>
              <w:pStyle w:val="Tabelid"/>
              <w:jc w:val="right"/>
              <w:cnfStyle w:val="100000000000" w:firstRow="1" w:lastRow="0" w:firstColumn="0" w:lastColumn="0" w:oddVBand="0" w:evenVBand="0" w:oddHBand="0" w:evenHBand="0" w:firstRowFirstColumn="0" w:firstRowLastColumn="0" w:lastRowFirstColumn="0" w:lastRowLastColumn="0"/>
            </w:pPr>
            <w:r w:rsidRPr="0049714C">
              <w:t>2020</w:t>
            </w:r>
          </w:p>
        </w:tc>
        <w:tc>
          <w:tcPr>
            <w:tcW w:w="944" w:type="dxa"/>
            <w:noWrap/>
            <w:hideMark/>
          </w:tcPr>
          <w:p w14:paraId="7E6064C0" w14:textId="77777777" w:rsidR="00E015FB" w:rsidRPr="0049714C" w:rsidRDefault="00E015FB" w:rsidP="005C246A">
            <w:pPr>
              <w:pStyle w:val="Tabelid"/>
              <w:jc w:val="right"/>
              <w:cnfStyle w:val="100000000000" w:firstRow="1" w:lastRow="0" w:firstColumn="0" w:lastColumn="0" w:oddVBand="0" w:evenVBand="0" w:oddHBand="0" w:evenHBand="0" w:firstRowFirstColumn="0" w:firstRowLastColumn="0" w:lastRowFirstColumn="0" w:lastRowLastColumn="0"/>
            </w:pPr>
            <w:r w:rsidRPr="0049714C">
              <w:t>2021</w:t>
            </w:r>
          </w:p>
        </w:tc>
        <w:tc>
          <w:tcPr>
            <w:tcW w:w="944" w:type="dxa"/>
            <w:noWrap/>
            <w:hideMark/>
          </w:tcPr>
          <w:p w14:paraId="53060C51" w14:textId="77777777" w:rsidR="00E015FB" w:rsidRPr="0049714C" w:rsidRDefault="00E015FB" w:rsidP="005C246A">
            <w:pPr>
              <w:pStyle w:val="Tabelid"/>
              <w:jc w:val="right"/>
              <w:cnfStyle w:val="100000000000" w:firstRow="1" w:lastRow="0" w:firstColumn="0" w:lastColumn="0" w:oddVBand="0" w:evenVBand="0" w:oddHBand="0" w:evenHBand="0" w:firstRowFirstColumn="0" w:firstRowLastColumn="0" w:lastRowFirstColumn="0" w:lastRowLastColumn="0"/>
            </w:pPr>
            <w:r w:rsidRPr="0049714C">
              <w:t>2022</w:t>
            </w:r>
          </w:p>
        </w:tc>
        <w:tc>
          <w:tcPr>
            <w:tcW w:w="944" w:type="dxa"/>
            <w:noWrap/>
            <w:hideMark/>
          </w:tcPr>
          <w:p w14:paraId="2A134EED" w14:textId="77777777" w:rsidR="00E015FB" w:rsidRPr="0049714C" w:rsidRDefault="00E015FB" w:rsidP="005C246A">
            <w:pPr>
              <w:pStyle w:val="Tabelid"/>
              <w:jc w:val="right"/>
              <w:cnfStyle w:val="100000000000" w:firstRow="1" w:lastRow="0" w:firstColumn="0" w:lastColumn="0" w:oddVBand="0" w:evenVBand="0" w:oddHBand="0" w:evenHBand="0" w:firstRowFirstColumn="0" w:firstRowLastColumn="0" w:lastRowFirstColumn="0" w:lastRowLastColumn="0"/>
            </w:pPr>
            <w:r w:rsidRPr="0049714C">
              <w:t>2023</w:t>
            </w:r>
          </w:p>
        </w:tc>
        <w:tc>
          <w:tcPr>
            <w:tcW w:w="944" w:type="dxa"/>
            <w:noWrap/>
            <w:hideMark/>
          </w:tcPr>
          <w:p w14:paraId="41C7A939" w14:textId="77777777" w:rsidR="00E015FB" w:rsidRPr="0049714C" w:rsidRDefault="00E015FB" w:rsidP="005C246A">
            <w:pPr>
              <w:pStyle w:val="Tabelid"/>
              <w:jc w:val="right"/>
              <w:cnfStyle w:val="100000000000" w:firstRow="1" w:lastRow="0" w:firstColumn="0" w:lastColumn="0" w:oddVBand="0" w:evenVBand="0" w:oddHBand="0" w:evenHBand="0" w:firstRowFirstColumn="0" w:firstRowLastColumn="0" w:lastRowFirstColumn="0" w:lastRowLastColumn="0"/>
            </w:pPr>
            <w:r w:rsidRPr="0049714C">
              <w:t>2024</w:t>
            </w:r>
          </w:p>
        </w:tc>
        <w:tc>
          <w:tcPr>
            <w:tcW w:w="944" w:type="dxa"/>
            <w:noWrap/>
            <w:hideMark/>
          </w:tcPr>
          <w:p w14:paraId="23B3C25B" w14:textId="77777777" w:rsidR="00E015FB" w:rsidRPr="0049714C" w:rsidRDefault="00E015FB" w:rsidP="005C246A">
            <w:pPr>
              <w:pStyle w:val="Tabelid"/>
              <w:jc w:val="right"/>
              <w:cnfStyle w:val="100000000000" w:firstRow="1" w:lastRow="0" w:firstColumn="0" w:lastColumn="0" w:oddVBand="0" w:evenVBand="0" w:oddHBand="0" w:evenHBand="0" w:firstRowFirstColumn="0" w:firstRowLastColumn="0" w:lastRowFirstColumn="0" w:lastRowLastColumn="0"/>
            </w:pPr>
            <w:r w:rsidRPr="0049714C">
              <w:t>2025</w:t>
            </w:r>
          </w:p>
        </w:tc>
        <w:tc>
          <w:tcPr>
            <w:tcW w:w="945" w:type="dxa"/>
            <w:noWrap/>
            <w:hideMark/>
          </w:tcPr>
          <w:p w14:paraId="4233DDF2" w14:textId="77777777" w:rsidR="00E015FB" w:rsidRPr="0049714C" w:rsidRDefault="00E015FB" w:rsidP="005C246A">
            <w:pPr>
              <w:pStyle w:val="Tabelid"/>
              <w:jc w:val="right"/>
              <w:cnfStyle w:val="100000000000" w:firstRow="1" w:lastRow="0" w:firstColumn="0" w:lastColumn="0" w:oddVBand="0" w:evenVBand="0" w:oddHBand="0" w:evenHBand="0" w:firstRowFirstColumn="0" w:firstRowLastColumn="0" w:lastRowFirstColumn="0" w:lastRowLastColumn="0"/>
            </w:pPr>
            <w:r w:rsidRPr="0049714C">
              <w:t>2026</w:t>
            </w:r>
          </w:p>
        </w:tc>
      </w:tr>
      <w:tr w:rsidR="00E015FB" w:rsidRPr="00BC6157" w14:paraId="69F124B3" w14:textId="77777777" w:rsidTr="00325CF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518" w:type="dxa"/>
            <w:hideMark/>
          </w:tcPr>
          <w:p w14:paraId="6FEB77DE" w14:textId="77777777" w:rsidR="00E015FB" w:rsidRPr="0049714C" w:rsidRDefault="00E015FB" w:rsidP="0049714C">
            <w:pPr>
              <w:pStyle w:val="Tabelid"/>
              <w:rPr>
                <w:b w:val="0"/>
                <w:bCs/>
              </w:rPr>
            </w:pPr>
            <w:r w:rsidRPr="0049714C">
              <w:rPr>
                <w:b w:val="0"/>
                <w:bCs/>
              </w:rPr>
              <w:t>Maksud ja sotsiaalkindlustusmaksed</w:t>
            </w:r>
          </w:p>
        </w:tc>
        <w:tc>
          <w:tcPr>
            <w:tcW w:w="944" w:type="dxa"/>
          </w:tcPr>
          <w:p w14:paraId="37626A92" w14:textId="77777777" w:rsidR="00E015FB" w:rsidRPr="00BC6157" w:rsidRDefault="00E015FB" w:rsidP="0049714C">
            <w:pPr>
              <w:pStyle w:val="Tabelid"/>
              <w:jc w:val="right"/>
              <w:cnfStyle w:val="000000100000" w:firstRow="0" w:lastRow="0" w:firstColumn="0" w:lastColumn="0" w:oddVBand="0" w:evenVBand="0" w:oddHBand="1" w:evenHBand="0" w:firstRowFirstColumn="0" w:firstRowLastColumn="0" w:lastRowFirstColumn="0" w:lastRowLastColumn="0"/>
            </w:pPr>
            <w:r w:rsidRPr="00BC6157">
              <w:t>9 524</w:t>
            </w:r>
          </w:p>
        </w:tc>
        <w:tc>
          <w:tcPr>
            <w:tcW w:w="944" w:type="dxa"/>
          </w:tcPr>
          <w:p w14:paraId="559F44AB" w14:textId="77777777" w:rsidR="00E015FB" w:rsidRPr="00BC6157" w:rsidRDefault="00E015FB" w:rsidP="0049714C">
            <w:pPr>
              <w:pStyle w:val="Tabelid"/>
              <w:jc w:val="right"/>
              <w:cnfStyle w:val="000000100000" w:firstRow="0" w:lastRow="0" w:firstColumn="0" w:lastColumn="0" w:oddVBand="0" w:evenVBand="0" w:oddHBand="1" w:evenHBand="0" w:firstRowFirstColumn="0" w:firstRowLastColumn="0" w:lastRowFirstColumn="0" w:lastRowLastColumn="0"/>
            </w:pPr>
            <w:r w:rsidRPr="00BC6157">
              <w:t>9 394</w:t>
            </w:r>
          </w:p>
        </w:tc>
        <w:tc>
          <w:tcPr>
            <w:tcW w:w="944" w:type="dxa"/>
            <w:noWrap/>
          </w:tcPr>
          <w:p w14:paraId="5A1A47F5" w14:textId="77777777" w:rsidR="00E015FB" w:rsidRPr="00BC6157" w:rsidRDefault="00E015FB" w:rsidP="0049714C">
            <w:pPr>
              <w:pStyle w:val="Tabelid"/>
              <w:jc w:val="right"/>
              <w:cnfStyle w:val="000000100000" w:firstRow="0" w:lastRow="0" w:firstColumn="0" w:lastColumn="0" w:oddVBand="0" w:evenVBand="0" w:oddHBand="1" w:evenHBand="0" w:firstRowFirstColumn="0" w:firstRowLastColumn="0" w:lastRowFirstColumn="0" w:lastRowLastColumn="0"/>
            </w:pPr>
            <w:r w:rsidRPr="00BC6157">
              <w:t>10 788</w:t>
            </w:r>
          </w:p>
        </w:tc>
        <w:tc>
          <w:tcPr>
            <w:tcW w:w="944" w:type="dxa"/>
            <w:noWrap/>
          </w:tcPr>
          <w:p w14:paraId="3D477B2A" w14:textId="2C73B8F6" w:rsidR="00E015FB" w:rsidRPr="00BC6157" w:rsidRDefault="00E015FB" w:rsidP="0049714C">
            <w:pPr>
              <w:pStyle w:val="Tabelid"/>
              <w:jc w:val="right"/>
              <w:cnfStyle w:val="000000100000" w:firstRow="0" w:lastRow="0" w:firstColumn="0" w:lastColumn="0" w:oddVBand="0" w:evenVBand="0" w:oddHBand="1" w:evenHBand="0" w:firstRowFirstColumn="0" w:firstRowLastColumn="0" w:lastRowFirstColumn="0" w:lastRowLastColumn="0"/>
            </w:pPr>
            <w:r w:rsidRPr="00BC6157">
              <w:t>11 1</w:t>
            </w:r>
            <w:r w:rsidR="00D005C3">
              <w:t>58</w:t>
            </w:r>
          </w:p>
        </w:tc>
        <w:tc>
          <w:tcPr>
            <w:tcW w:w="944" w:type="dxa"/>
            <w:noWrap/>
          </w:tcPr>
          <w:p w14:paraId="7A4CC914" w14:textId="77777777" w:rsidR="00E015FB" w:rsidRPr="00BC6157" w:rsidRDefault="00E015FB" w:rsidP="0049714C">
            <w:pPr>
              <w:pStyle w:val="Tabelid"/>
              <w:jc w:val="right"/>
              <w:cnfStyle w:val="000000100000" w:firstRow="0" w:lastRow="0" w:firstColumn="0" w:lastColumn="0" w:oddVBand="0" w:evenVBand="0" w:oddHBand="1" w:evenHBand="0" w:firstRowFirstColumn="0" w:firstRowLastColumn="0" w:lastRowFirstColumn="0" w:lastRowLastColumn="0"/>
            </w:pPr>
            <w:r w:rsidRPr="00BC6157">
              <w:t>11 413</w:t>
            </w:r>
          </w:p>
        </w:tc>
        <w:tc>
          <w:tcPr>
            <w:tcW w:w="944" w:type="dxa"/>
            <w:noWrap/>
          </w:tcPr>
          <w:p w14:paraId="6ECB07C3" w14:textId="77777777" w:rsidR="00E015FB" w:rsidRPr="00BC6157" w:rsidRDefault="00E015FB" w:rsidP="0049714C">
            <w:pPr>
              <w:pStyle w:val="Tabelid"/>
              <w:jc w:val="right"/>
              <w:cnfStyle w:val="000000100000" w:firstRow="0" w:lastRow="0" w:firstColumn="0" w:lastColumn="0" w:oddVBand="0" w:evenVBand="0" w:oddHBand="1" w:evenHBand="0" w:firstRowFirstColumn="0" w:firstRowLastColumn="0" w:lastRowFirstColumn="0" w:lastRowLastColumn="0"/>
            </w:pPr>
            <w:r w:rsidRPr="00BC6157">
              <w:t>11 997</w:t>
            </w:r>
          </w:p>
        </w:tc>
        <w:tc>
          <w:tcPr>
            <w:tcW w:w="944" w:type="dxa"/>
            <w:noWrap/>
          </w:tcPr>
          <w:p w14:paraId="7DF5BBA6" w14:textId="77777777" w:rsidR="00E015FB" w:rsidRPr="00BC6157" w:rsidRDefault="00E015FB" w:rsidP="0049714C">
            <w:pPr>
              <w:pStyle w:val="Tabelid"/>
              <w:jc w:val="right"/>
              <w:cnfStyle w:val="000000100000" w:firstRow="0" w:lastRow="0" w:firstColumn="0" w:lastColumn="0" w:oddVBand="0" w:evenVBand="0" w:oddHBand="1" w:evenHBand="0" w:firstRowFirstColumn="0" w:firstRowLastColumn="0" w:lastRowFirstColumn="0" w:lastRowLastColumn="0"/>
            </w:pPr>
            <w:r w:rsidRPr="00BC6157">
              <w:t>12 561</w:t>
            </w:r>
          </w:p>
        </w:tc>
        <w:tc>
          <w:tcPr>
            <w:tcW w:w="945" w:type="dxa"/>
            <w:noWrap/>
          </w:tcPr>
          <w:p w14:paraId="572CBA3A" w14:textId="77777777" w:rsidR="00E015FB" w:rsidRPr="00BC6157" w:rsidRDefault="00E015FB" w:rsidP="0049714C">
            <w:pPr>
              <w:pStyle w:val="Tabelid"/>
              <w:jc w:val="right"/>
              <w:cnfStyle w:val="000000100000" w:firstRow="0" w:lastRow="0" w:firstColumn="0" w:lastColumn="0" w:oddVBand="0" w:evenVBand="0" w:oddHBand="1" w:evenHBand="0" w:firstRowFirstColumn="0" w:firstRowLastColumn="0" w:lastRowFirstColumn="0" w:lastRowLastColumn="0"/>
            </w:pPr>
            <w:r w:rsidRPr="00BC6157">
              <w:t>13 078</w:t>
            </w:r>
          </w:p>
        </w:tc>
      </w:tr>
      <w:tr w:rsidR="00E015FB" w:rsidRPr="00BC6157" w14:paraId="552D7A0A" w14:textId="77777777" w:rsidTr="00325CF0">
        <w:trPr>
          <w:trHeight w:val="29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6319DADD" w14:textId="77777777" w:rsidR="00E015FB" w:rsidRPr="0049714C" w:rsidRDefault="00E015FB" w:rsidP="0049714C">
            <w:pPr>
              <w:pStyle w:val="Tabelid"/>
              <w:rPr>
                <w:b w:val="0"/>
                <w:bCs/>
              </w:rPr>
            </w:pPr>
            <w:r w:rsidRPr="0049714C">
              <w:rPr>
                <w:b w:val="0"/>
                <w:bCs/>
              </w:rPr>
              <w:t>Mittemaksulised tulud</w:t>
            </w:r>
          </w:p>
        </w:tc>
        <w:tc>
          <w:tcPr>
            <w:tcW w:w="944" w:type="dxa"/>
          </w:tcPr>
          <w:p w14:paraId="71EE4971" w14:textId="77777777" w:rsidR="00E015FB" w:rsidRPr="00BC6157" w:rsidRDefault="00E015FB" w:rsidP="0049714C">
            <w:pPr>
              <w:pStyle w:val="Tabelid"/>
              <w:jc w:val="right"/>
              <w:cnfStyle w:val="000000000000" w:firstRow="0" w:lastRow="0" w:firstColumn="0" w:lastColumn="0" w:oddVBand="0" w:evenVBand="0" w:oddHBand="0" w:evenHBand="0" w:firstRowFirstColumn="0" w:firstRowLastColumn="0" w:lastRowFirstColumn="0" w:lastRowLastColumn="0"/>
            </w:pPr>
            <w:r w:rsidRPr="00BC6157">
              <w:t>1 516</w:t>
            </w:r>
          </w:p>
        </w:tc>
        <w:tc>
          <w:tcPr>
            <w:tcW w:w="944" w:type="dxa"/>
          </w:tcPr>
          <w:p w14:paraId="5D84693D" w14:textId="77777777" w:rsidR="00E015FB" w:rsidRPr="00BC6157" w:rsidRDefault="00E015FB" w:rsidP="0049714C">
            <w:pPr>
              <w:pStyle w:val="Tabelid"/>
              <w:jc w:val="right"/>
              <w:cnfStyle w:val="000000000000" w:firstRow="0" w:lastRow="0" w:firstColumn="0" w:lastColumn="0" w:oddVBand="0" w:evenVBand="0" w:oddHBand="0" w:evenHBand="0" w:firstRowFirstColumn="0" w:firstRowLastColumn="0" w:lastRowFirstColumn="0" w:lastRowLastColumn="0"/>
            </w:pPr>
            <w:r w:rsidRPr="00BC6157">
              <w:t>1 469</w:t>
            </w:r>
          </w:p>
        </w:tc>
        <w:tc>
          <w:tcPr>
            <w:tcW w:w="944" w:type="dxa"/>
            <w:noWrap/>
          </w:tcPr>
          <w:p w14:paraId="3BC6264C" w14:textId="77777777" w:rsidR="00E015FB" w:rsidRPr="00BC6157" w:rsidRDefault="00E015FB" w:rsidP="0049714C">
            <w:pPr>
              <w:pStyle w:val="Tabelid"/>
              <w:jc w:val="right"/>
              <w:cnfStyle w:val="000000000000" w:firstRow="0" w:lastRow="0" w:firstColumn="0" w:lastColumn="0" w:oddVBand="0" w:evenVBand="0" w:oddHBand="0" w:evenHBand="0" w:firstRowFirstColumn="0" w:firstRowLastColumn="0" w:lastRowFirstColumn="0" w:lastRowLastColumn="0"/>
            </w:pPr>
            <w:r w:rsidRPr="00BC6157">
              <w:t>1 526</w:t>
            </w:r>
          </w:p>
        </w:tc>
        <w:tc>
          <w:tcPr>
            <w:tcW w:w="944" w:type="dxa"/>
            <w:noWrap/>
          </w:tcPr>
          <w:p w14:paraId="3BB802FB" w14:textId="0C45C028" w:rsidR="00E015FB" w:rsidRPr="00BC6157" w:rsidRDefault="00E015FB" w:rsidP="0049714C">
            <w:pPr>
              <w:pStyle w:val="Tabelid"/>
              <w:jc w:val="right"/>
              <w:cnfStyle w:val="000000000000" w:firstRow="0" w:lastRow="0" w:firstColumn="0" w:lastColumn="0" w:oddVBand="0" w:evenVBand="0" w:oddHBand="0" w:evenHBand="0" w:firstRowFirstColumn="0" w:firstRowLastColumn="0" w:lastRowFirstColumn="0" w:lastRowLastColumn="0"/>
            </w:pPr>
            <w:r w:rsidRPr="00BC6157">
              <w:t>2 0</w:t>
            </w:r>
            <w:r w:rsidR="00D005C3">
              <w:t>49</w:t>
            </w:r>
          </w:p>
        </w:tc>
        <w:tc>
          <w:tcPr>
            <w:tcW w:w="944" w:type="dxa"/>
            <w:noWrap/>
          </w:tcPr>
          <w:p w14:paraId="1D573B11" w14:textId="43E7A5DB" w:rsidR="00E015FB" w:rsidRPr="00BC6157" w:rsidRDefault="00E015FB" w:rsidP="0049714C">
            <w:pPr>
              <w:pStyle w:val="Tabelid"/>
              <w:jc w:val="right"/>
              <w:cnfStyle w:val="000000000000" w:firstRow="0" w:lastRow="0" w:firstColumn="0" w:lastColumn="0" w:oddVBand="0" w:evenVBand="0" w:oddHBand="0" w:evenHBand="0" w:firstRowFirstColumn="0" w:firstRowLastColumn="0" w:lastRowFirstColumn="0" w:lastRowLastColumn="0"/>
            </w:pPr>
            <w:r w:rsidRPr="00BC6157">
              <w:t>2 3</w:t>
            </w:r>
            <w:r w:rsidR="00D005C3">
              <w:t>3</w:t>
            </w:r>
            <w:r w:rsidRPr="00BC6157">
              <w:t>2</w:t>
            </w:r>
          </w:p>
        </w:tc>
        <w:tc>
          <w:tcPr>
            <w:tcW w:w="944" w:type="dxa"/>
            <w:noWrap/>
          </w:tcPr>
          <w:p w14:paraId="3681B386" w14:textId="41FE3F4F" w:rsidR="00E015FB" w:rsidRPr="00BC6157" w:rsidRDefault="00E015FB" w:rsidP="0049714C">
            <w:pPr>
              <w:pStyle w:val="Tabelid"/>
              <w:jc w:val="right"/>
              <w:cnfStyle w:val="000000000000" w:firstRow="0" w:lastRow="0" w:firstColumn="0" w:lastColumn="0" w:oddVBand="0" w:evenVBand="0" w:oddHBand="0" w:evenHBand="0" w:firstRowFirstColumn="0" w:firstRowLastColumn="0" w:lastRowFirstColumn="0" w:lastRowLastColumn="0"/>
            </w:pPr>
            <w:r w:rsidRPr="00BC6157">
              <w:t>2 3</w:t>
            </w:r>
            <w:r w:rsidR="00D005C3">
              <w:t>21</w:t>
            </w:r>
          </w:p>
        </w:tc>
        <w:tc>
          <w:tcPr>
            <w:tcW w:w="944" w:type="dxa"/>
            <w:noWrap/>
          </w:tcPr>
          <w:p w14:paraId="28D0E5EF" w14:textId="43DE1F78" w:rsidR="00E015FB" w:rsidRPr="00BC6157" w:rsidRDefault="00E015FB" w:rsidP="0049714C">
            <w:pPr>
              <w:pStyle w:val="Tabelid"/>
              <w:jc w:val="right"/>
              <w:cnfStyle w:val="000000000000" w:firstRow="0" w:lastRow="0" w:firstColumn="0" w:lastColumn="0" w:oddVBand="0" w:evenVBand="0" w:oddHBand="0" w:evenHBand="0" w:firstRowFirstColumn="0" w:firstRowLastColumn="0" w:lastRowFirstColumn="0" w:lastRowLastColumn="0"/>
            </w:pPr>
            <w:r w:rsidRPr="00BC6157">
              <w:t>2 1</w:t>
            </w:r>
            <w:r w:rsidR="00D005C3">
              <w:t>36</w:t>
            </w:r>
          </w:p>
        </w:tc>
        <w:tc>
          <w:tcPr>
            <w:tcW w:w="945" w:type="dxa"/>
            <w:noWrap/>
          </w:tcPr>
          <w:p w14:paraId="7111DBE3" w14:textId="39A8352E" w:rsidR="00E015FB" w:rsidRPr="00BC6157" w:rsidRDefault="00E015FB" w:rsidP="0049714C">
            <w:pPr>
              <w:pStyle w:val="Tabelid"/>
              <w:jc w:val="right"/>
              <w:cnfStyle w:val="000000000000" w:firstRow="0" w:lastRow="0" w:firstColumn="0" w:lastColumn="0" w:oddVBand="0" w:evenVBand="0" w:oddHBand="0" w:evenHBand="0" w:firstRowFirstColumn="0" w:firstRowLastColumn="0" w:lastRowFirstColumn="0" w:lastRowLastColumn="0"/>
            </w:pPr>
            <w:r w:rsidRPr="00BC6157">
              <w:t>2 0</w:t>
            </w:r>
            <w:r w:rsidR="00D005C3">
              <w:t>71</w:t>
            </w:r>
          </w:p>
        </w:tc>
      </w:tr>
      <w:tr w:rsidR="00E015FB" w:rsidRPr="00BC6157" w14:paraId="45EBE8B8" w14:textId="77777777" w:rsidTr="00325CF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4CAFC519" w14:textId="77777777" w:rsidR="00E015FB" w:rsidRPr="0049714C" w:rsidRDefault="00E015FB" w:rsidP="0049714C">
            <w:pPr>
              <w:pStyle w:val="Tabelid"/>
            </w:pPr>
            <w:r w:rsidRPr="0049714C">
              <w:t>Tulud kokku</w:t>
            </w:r>
          </w:p>
        </w:tc>
        <w:tc>
          <w:tcPr>
            <w:tcW w:w="944" w:type="dxa"/>
          </w:tcPr>
          <w:p w14:paraId="0E292667" w14:textId="77777777" w:rsidR="00E015FB" w:rsidRPr="00BC6157" w:rsidRDefault="00E015FB" w:rsidP="0049714C">
            <w:pPr>
              <w:pStyle w:val="Tabelid"/>
              <w:jc w:val="right"/>
              <w:cnfStyle w:val="000000100000" w:firstRow="0" w:lastRow="0" w:firstColumn="0" w:lastColumn="0" w:oddVBand="0" w:evenVBand="0" w:oddHBand="1" w:evenHBand="0" w:firstRowFirstColumn="0" w:firstRowLastColumn="0" w:lastRowFirstColumn="0" w:lastRowLastColumn="0"/>
            </w:pPr>
            <w:r w:rsidRPr="00BC6157">
              <w:t>11 039</w:t>
            </w:r>
          </w:p>
        </w:tc>
        <w:tc>
          <w:tcPr>
            <w:tcW w:w="944" w:type="dxa"/>
          </w:tcPr>
          <w:p w14:paraId="5BB2FA7C" w14:textId="77777777" w:rsidR="00E015FB" w:rsidRPr="00BC6157" w:rsidRDefault="00E015FB" w:rsidP="0049714C">
            <w:pPr>
              <w:pStyle w:val="Tabelid"/>
              <w:jc w:val="right"/>
              <w:cnfStyle w:val="000000100000" w:firstRow="0" w:lastRow="0" w:firstColumn="0" w:lastColumn="0" w:oddVBand="0" w:evenVBand="0" w:oddHBand="1" w:evenHBand="0" w:firstRowFirstColumn="0" w:firstRowLastColumn="0" w:lastRowFirstColumn="0" w:lastRowLastColumn="0"/>
            </w:pPr>
            <w:r w:rsidRPr="00BC6157">
              <w:t>10 863</w:t>
            </w:r>
          </w:p>
        </w:tc>
        <w:tc>
          <w:tcPr>
            <w:tcW w:w="944" w:type="dxa"/>
            <w:noWrap/>
          </w:tcPr>
          <w:p w14:paraId="7C40424E" w14:textId="77777777" w:rsidR="00E015FB" w:rsidRPr="00BC6157" w:rsidRDefault="00E015FB" w:rsidP="0049714C">
            <w:pPr>
              <w:pStyle w:val="Tabelid"/>
              <w:jc w:val="right"/>
              <w:cnfStyle w:val="000000100000" w:firstRow="0" w:lastRow="0" w:firstColumn="0" w:lastColumn="0" w:oddVBand="0" w:evenVBand="0" w:oddHBand="1" w:evenHBand="0" w:firstRowFirstColumn="0" w:firstRowLastColumn="0" w:lastRowFirstColumn="0" w:lastRowLastColumn="0"/>
            </w:pPr>
            <w:r w:rsidRPr="00BC6157">
              <w:t>12 314</w:t>
            </w:r>
          </w:p>
        </w:tc>
        <w:tc>
          <w:tcPr>
            <w:tcW w:w="944" w:type="dxa"/>
            <w:noWrap/>
          </w:tcPr>
          <w:p w14:paraId="483CB3AE" w14:textId="74ADC026" w:rsidR="00E015FB" w:rsidRPr="00BC6157" w:rsidRDefault="00E015FB" w:rsidP="0049714C">
            <w:pPr>
              <w:pStyle w:val="Tabelid"/>
              <w:jc w:val="right"/>
              <w:cnfStyle w:val="000000100000" w:firstRow="0" w:lastRow="0" w:firstColumn="0" w:lastColumn="0" w:oddVBand="0" w:evenVBand="0" w:oddHBand="1" w:evenHBand="0" w:firstRowFirstColumn="0" w:firstRowLastColumn="0" w:lastRowFirstColumn="0" w:lastRowLastColumn="0"/>
            </w:pPr>
            <w:r w:rsidRPr="00BC6157">
              <w:t xml:space="preserve">13 </w:t>
            </w:r>
            <w:r w:rsidR="00D005C3">
              <w:t>207</w:t>
            </w:r>
          </w:p>
        </w:tc>
        <w:tc>
          <w:tcPr>
            <w:tcW w:w="944" w:type="dxa"/>
            <w:noWrap/>
          </w:tcPr>
          <w:p w14:paraId="5BC5F21A" w14:textId="5E3051F6" w:rsidR="00E015FB" w:rsidRPr="00BC6157" w:rsidRDefault="00E015FB" w:rsidP="0049714C">
            <w:pPr>
              <w:pStyle w:val="Tabelid"/>
              <w:jc w:val="right"/>
              <w:cnfStyle w:val="000000100000" w:firstRow="0" w:lastRow="0" w:firstColumn="0" w:lastColumn="0" w:oddVBand="0" w:evenVBand="0" w:oddHBand="1" w:evenHBand="0" w:firstRowFirstColumn="0" w:firstRowLastColumn="0" w:lastRowFirstColumn="0" w:lastRowLastColumn="0"/>
            </w:pPr>
            <w:r w:rsidRPr="00BC6157">
              <w:t>13 7</w:t>
            </w:r>
            <w:r w:rsidR="00D005C3">
              <w:t>46</w:t>
            </w:r>
          </w:p>
        </w:tc>
        <w:tc>
          <w:tcPr>
            <w:tcW w:w="944" w:type="dxa"/>
            <w:noWrap/>
          </w:tcPr>
          <w:p w14:paraId="53E5ABC2" w14:textId="038F8DB1" w:rsidR="00E015FB" w:rsidRPr="00BC6157" w:rsidRDefault="00E015FB" w:rsidP="0049714C">
            <w:pPr>
              <w:pStyle w:val="Tabelid"/>
              <w:jc w:val="right"/>
              <w:cnfStyle w:val="000000100000" w:firstRow="0" w:lastRow="0" w:firstColumn="0" w:lastColumn="0" w:oddVBand="0" w:evenVBand="0" w:oddHBand="1" w:evenHBand="0" w:firstRowFirstColumn="0" w:firstRowLastColumn="0" w:lastRowFirstColumn="0" w:lastRowLastColumn="0"/>
            </w:pPr>
            <w:r w:rsidRPr="00BC6157">
              <w:t>14 3</w:t>
            </w:r>
            <w:r w:rsidR="00D005C3">
              <w:t>18</w:t>
            </w:r>
          </w:p>
        </w:tc>
        <w:tc>
          <w:tcPr>
            <w:tcW w:w="944" w:type="dxa"/>
            <w:noWrap/>
          </w:tcPr>
          <w:p w14:paraId="2CFB02ED" w14:textId="250437F5" w:rsidR="00E015FB" w:rsidRPr="00BC6157" w:rsidRDefault="00E015FB" w:rsidP="0049714C">
            <w:pPr>
              <w:pStyle w:val="Tabelid"/>
              <w:jc w:val="right"/>
              <w:cnfStyle w:val="000000100000" w:firstRow="0" w:lastRow="0" w:firstColumn="0" w:lastColumn="0" w:oddVBand="0" w:evenVBand="0" w:oddHBand="1" w:evenHBand="0" w:firstRowFirstColumn="0" w:firstRowLastColumn="0" w:lastRowFirstColumn="0" w:lastRowLastColumn="0"/>
            </w:pPr>
            <w:r w:rsidRPr="00BC6157">
              <w:t>14 6</w:t>
            </w:r>
            <w:r w:rsidR="00D005C3">
              <w:t>97</w:t>
            </w:r>
          </w:p>
        </w:tc>
        <w:tc>
          <w:tcPr>
            <w:tcW w:w="945" w:type="dxa"/>
            <w:noWrap/>
          </w:tcPr>
          <w:p w14:paraId="34AC0295" w14:textId="0ADB4159" w:rsidR="00E015FB" w:rsidRPr="00BC6157" w:rsidRDefault="00E015FB" w:rsidP="0049714C">
            <w:pPr>
              <w:pStyle w:val="Tabelid"/>
              <w:jc w:val="right"/>
              <w:cnfStyle w:val="000000100000" w:firstRow="0" w:lastRow="0" w:firstColumn="0" w:lastColumn="0" w:oddVBand="0" w:evenVBand="0" w:oddHBand="1" w:evenHBand="0" w:firstRowFirstColumn="0" w:firstRowLastColumn="0" w:lastRowFirstColumn="0" w:lastRowLastColumn="0"/>
            </w:pPr>
            <w:r w:rsidRPr="00BC6157">
              <w:t>15 1</w:t>
            </w:r>
            <w:r w:rsidR="00D005C3">
              <w:t>49</w:t>
            </w:r>
          </w:p>
        </w:tc>
      </w:tr>
      <w:tr w:rsidR="00E015FB" w:rsidRPr="005822EA" w14:paraId="4B435444" w14:textId="77777777" w:rsidTr="00325CF0">
        <w:trPr>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064BA57A" w14:textId="77777777" w:rsidR="00E015FB" w:rsidRPr="0049714C" w:rsidRDefault="00E015FB" w:rsidP="0049714C">
            <w:pPr>
              <w:pStyle w:val="Tabelid"/>
              <w:rPr>
                <w:b w:val="0"/>
                <w:bCs/>
              </w:rPr>
            </w:pPr>
            <w:r w:rsidRPr="0049714C">
              <w:rPr>
                <w:b w:val="0"/>
                <w:bCs/>
              </w:rPr>
              <w:t>Tulude kasv</w:t>
            </w:r>
          </w:p>
        </w:tc>
        <w:tc>
          <w:tcPr>
            <w:tcW w:w="944" w:type="dxa"/>
          </w:tcPr>
          <w:p w14:paraId="1F17E980" w14:textId="77777777" w:rsidR="00E015FB" w:rsidRPr="00BC6157" w:rsidRDefault="00E015FB" w:rsidP="0049714C">
            <w:pPr>
              <w:pStyle w:val="Tabelid"/>
              <w:jc w:val="right"/>
              <w:cnfStyle w:val="000000000000" w:firstRow="0" w:lastRow="0" w:firstColumn="0" w:lastColumn="0" w:oddVBand="0" w:evenVBand="0" w:oddHBand="0" w:evenHBand="0" w:firstRowFirstColumn="0" w:firstRowLastColumn="0" w:lastRowFirstColumn="0" w:lastRowLastColumn="0"/>
            </w:pPr>
            <w:r w:rsidRPr="00BC6157">
              <w:t>8,2%</w:t>
            </w:r>
          </w:p>
        </w:tc>
        <w:tc>
          <w:tcPr>
            <w:tcW w:w="944" w:type="dxa"/>
          </w:tcPr>
          <w:p w14:paraId="7365A578" w14:textId="77777777" w:rsidR="00E015FB" w:rsidRPr="00BC6157" w:rsidRDefault="00E015FB" w:rsidP="0049714C">
            <w:pPr>
              <w:pStyle w:val="Tabelid"/>
              <w:jc w:val="right"/>
              <w:cnfStyle w:val="000000000000" w:firstRow="0" w:lastRow="0" w:firstColumn="0" w:lastColumn="0" w:oddVBand="0" w:evenVBand="0" w:oddHBand="0" w:evenHBand="0" w:firstRowFirstColumn="0" w:firstRowLastColumn="0" w:lastRowFirstColumn="0" w:lastRowLastColumn="0"/>
            </w:pPr>
            <w:r w:rsidRPr="00BC6157">
              <w:t>-1,6%</w:t>
            </w:r>
          </w:p>
        </w:tc>
        <w:tc>
          <w:tcPr>
            <w:tcW w:w="944" w:type="dxa"/>
            <w:noWrap/>
          </w:tcPr>
          <w:p w14:paraId="1D89E1DC" w14:textId="77777777" w:rsidR="00E015FB" w:rsidRPr="00BC6157" w:rsidRDefault="00E015FB" w:rsidP="0049714C">
            <w:pPr>
              <w:pStyle w:val="Tabelid"/>
              <w:jc w:val="right"/>
              <w:cnfStyle w:val="000000000000" w:firstRow="0" w:lastRow="0" w:firstColumn="0" w:lastColumn="0" w:oddVBand="0" w:evenVBand="0" w:oddHBand="0" w:evenHBand="0" w:firstRowFirstColumn="0" w:firstRowLastColumn="0" w:lastRowFirstColumn="0" w:lastRowLastColumn="0"/>
            </w:pPr>
            <w:r w:rsidRPr="00BC6157">
              <w:t>13,4%</w:t>
            </w:r>
          </w:p>
        </w:tc>
        <w:tc>
          <w:tcPr>
            <w:tcW w:w="944" w:type="dxa"/>
            <w:noWrap/>
          </w:tcPr>
          <w:p w14:paraId="4DAA72BD" w14:textId="56171A72" w:rsidR="00E015FB" w:rsidRPr="00BC6157" w:rsidRDefault="00E015FB" w:rsidP="0049714C">
            <w:pPr>
              <w:pStyle w:val="Tabelid"/>
              <w:jc w:val="right"/>
              <w:cnfStyle w:val="000000000000" w:firstRow="0" w:lastRow="0" w:firstColumn="0" w:lastColumn="0" w:oddVBand="0" w:evenVBand="0" w:oddHBand="0" w:evenHBand="0" w:firstRowFirstColumn="0" w:firstRowLastColumn="0" w:lastRowFirstColumn="0" w:lastRowLastColumn="0"/>
            </w:pPr>
            <w:r w:rsidRPr="00BC6157">
              <w:t>7,</w:t>
            </w:r>
            <w:r w:rsidR="00D005C3">
              <w:t>3</w:t>
            </w:r>
            <w:r w:rsidRPr="00BC6157">
              <w:t>%</w:t>
            </w:r>
          </w:p>
        </w:tc>
        <w:tc>
          <w:tcPr>
            <w:tcW w:w="944" w:type="dxa"/>
            <w:noWrap/>
          </w:tcPr>
          <w:p w14:paraId="1F0090E2" w14:textId="6CFABC54" w:rsidR="00E015FB" w:rsidRPr="00BC6157" w:rsidRDefault="00D005C3" w:rsidP="0049714C">
            <w:pPr>
              <w:pStyle w:val="Tabelid"/>
              <w:jc w:val="right"/>
              <w:cnfStyle w:val="000000000000" w:firstRow="0" w:lastRow="0" w:firstColumn="0" w:lastColumn="0" w:oddVBand="0" w:evenVBand="0" w:oddHBand="0" w:evenHBand="0" w:firstRowFirstColumn="0" w:firstRowLastColumn="0" w:lastRowFirstColumn="0" w:lastRowLastColumn="0"/>
            </w:pPr>
            <w:r>
              <w:t>4,1</w:t>
            </w:r>
            <w:r w:rsidR="00E015FB" w:rsidRPr="00BC6157">
              <w:t>%</w:t>
            </w:r>
          </w:p>
        </w:tc>
        <w:tc>
          <w:tcPr>
            <w:tcW w:w="944" w:type="dxa"/>
            <w:noWrap/>
          </w:tcPr>
          <w:p w14:paraId="73C2E7DE" w14:textId="2CC413AC" w:rsidR="00E015FB" w:rsidRPr="00BC6157" w:rsidRDefault="00E015FB" w:rsidP="0049714C">
            <w:pPr>
              <w:pStyle w:val="Tabelid"/>
              <w:jc w:val="right"/>
              <w:cnfStyle w:val="000000000000" w:firstRow="0" w:lastRow="0" w:firstColumn="0" w:lastColumn="0" w:oddVBand="0" w:evenVBand="0" w:oddHBand="0" w:evenHBand="0" w:firstRowFirstColumn="0" w:firstRowLastColumn="0" w:lastRowFirstColumn="0" w:lastRowLastColumn="0"/>
            </w:pPr>
            <w:r w:rsidRPr="00BC6157">
              <w:t>4,</w:t>
            </w:r>
            <w:r w:rsidR="00D005C3">
              <w:t>2</w:t>
            </w:r>
            <w:r w:rsidRPr="00BC6157">
              <w:t>%</w:t>
            </w:r>
          </w:p>
        </w:tc>
        <w:tc>
          <w:tcPr>
            <w:tcW w:w="944" w:type="dxa"/>
            <w:noWrap/>
          </w:tcPr>
          <w:p w14:paraId="17463194" w14:textId="77777777" w:rsidR="00E015FB" w:rsidRPr="00BC6157" w:rsidRDefault="00E015FB" w:rsidP="0049714C">
            <w:pPr>
              <w:pStyle w:val="Tabelid"/>
              <w:jc w:val="right"/>
              <w:cnfStyle w:val="000000000000" w:firstRow="0" w:lastRow="0" w:firstColumn="0" w:lastColumn="0" w:oddVBand="0" w:evenVBand="0" w:oddHBand="0" w:evenHBand="0" w:firstRowFirstColumn="0" w:firstRowLastColumn="0" w:lastRowFirstColumn="0" w:lastRowLastColumn="0"/>
            </w:pPr>
            <w:r w:rsidRPr="00BC6157">
              <w:t>2,6%</w:t>
            </w:r>
          </w:p>
        </w:tc>
        <w:tc>
          <w:tcPr>
            <w:tcW w:w="945" w:type="dxa"/>
            <w:noWrap/>
          </w:tcPr>
          <w:p w14:paraId="7AE8AD0A" w14:textId="77777777" w:rsidR="00E015FB" w:rsidRDefault="00E015FB" w:rsidP="0049714C">
            <w:pPr>
              <w:pStyle w:val="Tabelid"/>
              <w:jc w:val="right"/>
              <w:cnfStyle w:val="000000000000" w:firstRow="0" w:lastRow="0" w:firstColumn="0" w:lastColumn="0" w:oddVBand="0" w:evenVBand="0" w:oddHBand="0" w:evenHBand="0" w:firstRowFirstColumn="0" w:firstRowLastColumn="0" w:lastRowFirstColumn="0" w:lastRowLastColumn="0"/>
            </w:pPr>
            <w:r w:rsidRPr="00BC6157">
              <w:t>3,1%</w:t>
            </w:r>
          </w:p>
        </w:tc>
      </w:tr>
    </w:tbl>
    <w:p w14:paraId="71048373" w14:textId="77777777" w:rsidR="00E015FB" w:rsidRPr="005822EA" w:rsidRDefault="00E015FB" w:rsidP="00E015FB">
      <w:pPr>
        <w:pStyle w:val="Mrkus"/>
        <w:jc w:val="both"/>
      </w:pPr>
      <w:r w:rsidRPr="005822EA">
        <w:t>Allikas: Rahandusministeerium</w:t>
      </w:r>
    </w:p>
    <w:p w14:paraId="31F6F495" w14:textId="77777777" w:rsidR="00E015FB" w:rsidRDefault="00E015FB" w:rsidP="00E015FB">
      <w:pPr>
        <w:jc w:val="both"/>
        <w:rPr>
          <w:rStyle w:val="Tugev"/>
          <w:b w:val="0"/>
          <w:bCs w:val="0"/>
        </w:rPr>
        <w:sectPr w:rsidR="00E015FB" w:rsidSect="0093189D">
          <w:endnotePr>
            <w:numFmt w:val="decimal"/>
          </w:endnotePr>
          <w:type w:val="continuous"/>
          <w:pgSz w:w="11906" w:h="16838"/>
          <w:pgMar w:top="964" w:right="964" w:bottom="964" w:left="964" w:header="709" w:footer="709" w:gutter="0"/>
          <w:cols w:space="708"/>
          <w:docGrid w:linePitch="360"/>
        </w:sectPr>
      </w:pPr>
    </w:p>
    <w:p w14:paraId="4F4B1DDD" w14:textId="266AA0A3" w:rsidR="00C74FB5" w:rsidRDefault="00E015FB" w:rsidP="00E015FB">
      <w:pPr>
        <w:pStyle w:val="Pealkiri3"/>
        <w:jc w:val="both"/>
        <w:rPr>
          <w:rStyle w:val="longtext"/>
          <w:b w:val="0"/>
        </w:rPr>
        <w:sectPr w:rsidR="00C74FB5" w:rsidSect="00C74FB5">
          <w:endnotePr>
            <w:numFmt w:val="decimal"/>
          </w:endnotePr>
          <w:type w:val="continuous"/>
          <w:pgSz w:w="11906" w:h="16838"/>
          <w:pgMar w:top="964" w:right="964" w:bottom="964" w:left="964" w:header="709" w:footer="709" w:gutter="0"/>
          <w:cols w:space="708"/>
          <w:docGrid w:linePitch="360"/>
        </w:sectPr>
      </w:pPr>
      <w:bookmarkStart w:id="65" w:name="_Toc62631836"/>
      <w:bookmarkStart w:id="66" w:name="_Toc64504557"/>
      <w:bookmarkStart w:id="67" w:name="_Toc68514333"/>
      <w:bookmarkStart w:id="68" w:name="_Toc100230259"/>
      <w:r w:rsidRPr="00BD3C4E">
        <w:rPr>
          <w:rStyle w:val="longtext"/>
          <w:b w:val="0"/>
        </w:rPr>
        <w:t>Riigieelarve maksuliste tulude prognoo</w:t>
      </w:r>
      <w:bookmarkEnd w:id="65"/>
      <w:bookmarkEnd w:id="66"/>
      <w:bookmarkEnd w:id="67"/>
      <w:r w:rsidR="00C74FB5">
        <w:rPr>
          <w:rStyle w:val="longtext"/>
          <w:b w:val="0"/>
        </w:rPr>
        <w:t>s</w:t>
      </w:r>
      <w:bookmarkEnd w:id="68"/>
    </w:p>
    <w:p w14:paraId="56F710C8" w14:textId="23B85E8E" w:rsidR="00E015FB" w:rsidRPr="0049714C" w:rsidRDefault="00E015FB" w:rsidP="0049714C">
      <w:pPr>
        <w:pStyle w:val="Phitekst"/>
        <w:rPr>
          <w:highlight w:val="yellow"/>
        </w:rPr>
      </w:pPr>
      <w:r w:rsidRPr="00B7291B">
        <w:rPr>
          <w:rStyle w:val="Tugev"/>
        </w:rPr>
        <w:t>Riigieelarvesse laekuva füüsilise isiku tulumaksu</w:t>
      </w:r>
      <w:r w:rsidRPr="00075A9F">
        <w:t xml:space="preserve"> </w:t>
      </w:r>
      <w:r w:rsidRPr="0049714C">
        <w:t xml:space="preserve">2022. aasta laekumise prognoos vähenes võrreldes riigieelarve prognoosiga </w:t>
      </w:r>
      <w:r w:rsidR="00261BD2" w:rsidRPr="0049714C">
        <w:t>5</w:t>
      </w:r>
      <w:r w:rsidRPr="0049714C">
        <w:t> mln euro võrra 66</w:t>
      </w:r>
      <w:r w:rsidR="00261BD2" w:rsidRPr="0049714C">
        <w:t>3</w:t>
      </w:r>
      <w:r w:rsidRPr="0049714C">
        <w:t xml:space="preserve"> mln euroni. Langus tuleneb eelkõige hõive prognoosi allapoole korrigeerimisest, mida tasakaalustas II pensionisambast lahkujate prognoosi ülespoole korrigeerimine.</w:t>
      </w:r>
    </w:p>
    <w:p w14:paraId="5F4BA3EB" w14:textId="7310222F" w:rsidR="00E015FB" w:rsidRPr="0049714C" w:rsidRDefault="00E015FB" w:rsidP="0049714C">
      <w:pPr>
        <w:pStyle w:val="Phitekst"/>
        <w:rPr>
          <w:highlight w:val="yellow"/>
        </w:rPr>
      </w:pPr>
      <w:r w:rsidRPr="0049714C">
        <w:t>2022. aastal kahaneb riigieelarvesse laekuv füüsilise isiku tulumaks 16,2% võrreldes 2021. aastaga seoses teisest sambast väljujate vähenemisega – prognoosis on eeldatud 49 tuhande inimese teisest sambast lahkumist summas 360 mln eurot.</w:t>
      </w:r>
    </w:p>
    <w:p w14:paraId="73DC5159" w14:textId="439428CC" w:rsidR="00E015FB" w:rsidRPr="0049714C" w:rsidRDefault="00E015FB" w:rsidP="0049714C">
      <w:pPr>
        <w:pStyle w:val="Phitekst"/>
        <w:rPr>
          <w:highlight w:val="yellow"/>
        </w:rPr>
      </w:pPr>
      <w:r w:rsidRPr="0049714C">
        <w:t>Laekumi</w:t>
      </w:r>
      <w:r w:rsidR="000B4682" w:rsidRPr="0049714C">
        <w:t>ne</w:t>
      </w:r>
      <w:r w:rsidRPr="0049714C">
        <w:t xml:space="preserve"> </w:t>
      </w:r>
      <w:r w:rsidR="000B4682" w:rsidRPr="0049714C">
        <w:t>kahaneb ka</w:t>
      </w:r>
      <w:r w:rsidRPr="0049714C">
        <w:t xml:space="preserve"> 2023. aasta</w:t>
      </w:r>
      <w:r w:rsidR="000B4682" w:rsidRPr="0049714C">
        <w:t>l, mil</w:t>
      </w:r>
      <w:r w:rsidRPr="0049714C">
        <w:t xml:space="preserve"> rakendu</w:t>
      </w:r>
      <w:r w:rsidR="000B4682" w:rsidRPr="0049714C">
        <w:t>b</w:t>
      </w:r>
      <w:r w:rsidRPr="0049714C">
        <w:t xml:space="preserve"> vanaduspensionäride maksuvaba tulu keskmise vanaduspensioni ulatuses. Pärast seda muudatust laekumise kasv stabiliseerub ja aastatel 2024–2026 kasvab riigieelarvesse laekuv tulumaks keskmiselt 7,4% aastas. </w:t>
      </w:r>
    </w:p>
    <w:p w14:paraId="6629C182" w14:textId="369D2CF7" w:rsidR="00E015FB" w:rsidRPr="0049714C" w:rsidRDefault="00E015FB" w:rsidP="0049714C">
      <w:pPr>
        <w:pStyle w:val="Phitekst"/>
        <w:rPr>
          <w:highlight w:val="yellow"/>
        </w:rPr>
      </w:pPr>
      <w:r w:rsidRPr="0049714C">
        <w:rPr>
          <w:rStyle w:val="Tugev"/>
        </w:rPr>
        <w:t>Kohalike omavalitsuste füüsilise isiku tulumaksu</w:t>
      </w:r>
      <w:r w:rsidRPr="0049714C">
        <w:t xml:space="preserve"> 2022. aasta laekumise prognoos vähenes võrreldes riigieelarve prognoosiga </w:t>
      </w:r>
      <w:r w:rsidR="00261BD2" w:rsidRPr="0049714C">
        <w:t>30</w:t>
      </w:r>
      <w:r w:rsidRPr="0049714C">
        <w:t xml:space="preserve"> mln euro võrra 1 43</w:t>
      </w:r>
      <w:r w:rsidR="00261BD2" w:rsidRPr="0049714C">
        <w:t>6</w:t>
      </w:r>
      <w:r w:rsidRPr="0049714C">
        <w:t xml:space="preserve"> mln euroni, mis tuleneb samuti hõive allapoole korrigeerimisest. Pensionisüsteemi teise samba muudatused ei mõjuta KOV füüsilise isiku tulumaksu laekumist.</w:t>
      </w:r>
    </w:p>
    <w:p w14:paraId="6AF193EE" w14:textId="205F19D2" w:rsidR="00E015FB" w:rsidRPr="0049714C" w:rsidRDefault="00E015FB" w:rsidP="0049714C">
      <w:pPr>
        <w:pStyle w:val="Phitekst"/>
      </w:pPr>
      <w:r w:rsidRPr="0049714C">
        <w:t>Perioodil 202</w:t>
      </w:r>
      <w:r w:rsidR="00261BD2" w:rsidRPr="0049714C">
        <w:t>3</w:t>
      </w:r>
      <w:r w:rsidRPr="0049714C">
        <w:t xml:space="preserve">–2026 kasvab kohalikele omavalitsustele laekuv tulumaks keskmiselt </w:t>
      </w:r>
      <w:r w:rsidR="00261BD2" w:rsidRPr="0049714C">
        <w:t>4,8</w:t>
      </w:r>
      <w:r w:rsidRPr="0049714C">
        <w:t xml:space="preserve">% aastas. </w:t>
      </w:r>
    </w:p>
    <w:p w14:paraId="50C50D64" w14:textId="78B1D1E0" w:rsidR="00E015FB" w:rsidRPr="0049714C" w:rsidRDefault="00E015FB" w:rsidP="0049714C">
      <w:pPr>
        <w:pStyle w:val="Phitekst"/>
        <w:rPr>
          <w:highlight w:val="yellow"/>
        </w:rPr>
      </w:pPr>
      <w:r w:rsidRPr="0049714C">
        <w:rPr>
          <w:rStyle w:val="Tugev"/>
        </w:rPr>
        <w:t>Sotsiaalmaksu</w:t>
      </w:r>
      <w:r w:rsidRPr="006D3693">
        <w:rPr>
          <w:rStyle w:val="RhutusChar"/>
          <w:rFonts w:asciiTheme="minorHAnsi" w:hAnsiTheme="minorHAnsi" w:cstheme="minorHAnsi"/>
          <w:sz w:val="22"/>
        </w:rPr>
        <w:t xml:space="preserve"> </w:t>
      </w:r>
      <w:r w:rsidRPr="0049714C">
        <w:t xml:space="preserve">2022. aasta tasumise prognoos vähenes võrreldes riigieelarve prognoosiga </w:t>
      </w:r>
      <w:r w:rsidR="00261BD2" w:rsidRPr="0049714C">
        <w:t>41</w:t>
      </w:r>
      <w:r w:rsidRPr="0049714C">
        <w:t> mln euro võrra 3 9</w:t>
      </w:r>
      <w:r w:rsidR="00261BD2" w:rsidRPr="0049714C">
        <w:t>28</w:t>
      </w:r>
      <w:r w:rsidRPr="0049714C">
        <w:t> mln euroni, mis tuleneb sarnaselt füüsilise isiku tulumaksule hõive prognoosi allapoole korrigeerimisest.</w:t>
      </w:r>
      <w:bookmarkStart w:id="69" w:name="_Hlk99550051"/>
      <w:r w:rsidRPr="0049714C">
        <w:t xml:space="preserve"> Sotsiaalmaksu võla vähenemise mõju ulatu</w:t>
      </w:r>
      <w:r w:rsidR="00261BD2" w:rsidRPr="0049714C">
        <w:t>b</w:t>
      </w:r>
      <w:r w:rsidRPr="0049714C">
        <w:t xml:space="preserve"> 13 mln euroni.</w:t>
      </w:r>
      <w:bookmarkEnd w:id="69"/>
    </w:p>
    <w:p w14:paraId="329F9FF4" w14:textId="77777777" w:rsidR="00E015FB" w:rsidRPr="0049714C" w:rsidRDefault="00E015FB" w:rsidP="0049714C">
      <w:pPr>
        <w:pStyle w:val="Phitekst"/>
      </w:pPr>
      <w:r w:rsidRPr="0049714C">
        <w:t>Prognoosiperioodil vähendab sotsiaalmaksu tasumist 2022. aasta 1. aprillil jõustuv määra vähenemine 33%lt 20%le SMS § 6 lõike 1 punktides 1 ja 5 sätestatud juhtudel, ehk väheneb riigi poolt tasutud sotsiaalmaks alla 3-aastase lapse vanema või hooldaja ning osalise või puuduva töövõimega isikute puhul.</w:t>
      </w:r>
    </w:p>
    <w:p w14:paraId="30C81953" w14:textId="2E574827" w:rsidR="00E015FB" w:rsidRPr="0049714C" w:rsidRDefault="00E015FB" w:rsidP="0049714C">
      <w:pPr>
        <w:pStyle w:val="Phitekst"/>
        <w:rPr>
          <w:highlight w:val="yellow"/>
        </w:rPr>
      </w:pPr>
      <w:r w:rsidRPr="0049714C">
        <w:t>Sotsiaalmaksu tasumisest sõltuvad pensioniindeks ja pensionikulud. Võrreldes riigieelarve prognoosiga suurenes keskmise vanaduspensioni</w:t>
      </w:r>
      <w:r w:rsidRPr="00405381">
        <w:rPr>
          <w:vertAlign w:val="superscript"/>
        </w:rPr>
        <w:endnoteReference w:id="2"/>
      </w:r>
      <w:r w:rsidRPr="0049714C">
        <w:t xml:space="preserve"> prognoos mõnevõrra – 2022. aastal 5</w:t>
      </w:r>
      <w:r w:rsidR="007A581E" w:rsidRPr="0049714C">
        <w:t xml:space="preserve"> euro</w:t>
      </w:r>
      <w:r w:rsidRPr="0049714C">
        <w:t xml:space="preserve"> võrra 595</w:t>
      </w:r>
      <w:r w:rsidR="007A581E" w:rsidRPr="0049714C">
        <w:t xml:space="preserve"> eurole</w:t>
      </w:r>
      <w:r w:rsidRPr="0049714C">
        <w:t xml:space="preserve"> ja 2023. aastal </w:t>
      </w:r>
      <w:r w:rsidR="000D72E2" w:rsidRPr="0049714C">
        <w:t xml:space="preserve">arvestades </w:t>
      </w:r>
      <w:r w:rsidR="00493F00" w:rsidRPr="0049714C">
        <w:t xml:space="preserve">20 eurose </w:t>
      </w:r>
      <w:r w:rsidRPr="0049714C">
        <w:t>erakorralise pensionitõusuga 4</w:t>
      </w:r>
      <w:r w:rsidR="007A581E" w:rsidRPr="0049714C">
        <w:t xml:space="preserve"> euro </w:t>
      </w:r>
      <w:r w:rsidRPr="0049714C">
        <w:t>võrra 662</w:t>
      </w:r>
      <w:r w:rsidR="007A581E" w:rsidRPr="0049714C">
        <w:t xml:space="preserve"> eurole</w:t>
      </w:r>
      <w:r w:rsidRPr="0049714C">
        <w:t>.</w:t>
      </w:r>
    </w:p>
    <w:p w14:paraId="07805C26" w14:textId="6577D8E2" w:rsidR="00E015FB" w:rsidRPr="0049714C" w:rsidRDefault="00E015FB" w:rsidP="0049714C">
      <w:pPr>
        <w:pStyle w:val="Phitekst"/>
      </w:pPr>
      <w:r w:rsidRPr="0049714C">
        <w:t>Aastatel 202</w:t>
      </w:r>
      <w:r w:rsidR="00261BD2" w:rsidRPr="0049714C">
        <w:t>3</w:t>
      </w:r>
      <w:r w:rsidRPr="0049714C">
        <w:t xml:space="preserve">–2026 kasvab sotsiaalmaksu tasumine keskmiselt 5,0% aastas. </w:t>
      </w:r>
    </w:p>
    <w:p w14:paraId="625BCCDC" w14:textId="77777777" w:rsidR="00E015FB" w:rsidRPr="0049714C" w:rsidRDefault="00E015FB" w:rsidP="0049714C">
      <w:pPr>
        <w:pStyle w:val="Phitekst"/>
      </w:pPr>
      <w:r w:rsidRPr="0049714C">
        <w:rPr>
          <w:rStyle w:val="Tugev"/>
        </w:rPr>
        <w:lastRenderedPageBreak/>
        <w:t>Juriidilise isiku tulumaksu</w:t>
      </w:r>
      <w:r w:rsidRPr="0049714C">
        <w:t xml:space="preserve"> 2022. aasta laekumise prognoos suurenes võrreldes riigieelarve prognoosiga 14 mln euro võrra 503 mln euroni. Eelkõige tulenes see riigiettevõtete (Eesti Energia, RKAS) dividendide prognoosi suurenemisest. </w:t>
      </w:r>
    </w:p>
    <w:p w14:paraId="76CEF075" w14:textId="784E8D44" w:rsidR="00E015FB" w:rsidRPr="0049714C" w:rsidRDefault="00E015FB" w:rsidP="0049714C">
      <w:pPr>
        <w:pStyle w:val="Phitekst"/>
      </w:pPr>
      <w:r w:rsidRPr="0049714C">
        <w:t>2021. aasta erasektori 14% määraga jaotatud kasumi kiire kasv eeldatavalt raugeb ning nii 14% kui</w:t>
      </w:r>
      <w:r w:rsidR="00405381">
        <w:t xml:space="preserve"> ka</w:t>
      </w:r>
      <w:r w:rsidRPr="0049714C">
        <w:t xml:space="preserve"> 20% tulumaksumääraga erasektori jaotatud kasumi kasvuks on prognoositud ligi 5% aastas prognoosiperioodi lõpuni (vt</w:t>
      </w:r>
      <w:r w:rsidR="00C952F4" w:rsidRPr="0049714C">
        <w:t xml:space="preserve"> </w:t>
      </w:r>
      <w:r w:rsidR="00C952F4" w:rsidRPr="0049714C">
        <w:rPr>
          <w:rStyle w:val="PhitekstChar"/>
          <w:rFonts w:asciiTheme="minorHAnsi" w:hAnsiTheme="minorHAnsi"/>
        </w:rPr>
        <w:fldChar w:fldCharType="begin"/>
      </w:r>
      <w:r w:rsidR="00C952F4" w:rsidRPr="0049714C">
        <w:instrText xml:space="preserve"> REF _Ref100012298 \h </w:instrText>
      </w:r>
      <w:r w:rsidR="00F50046" w:rsidRPr="0049714C">
        <w:rPr>
          <w:rStyle w:val="PhitekstChar"/>
          <w:rFonts w:asciiTheme="minorHAnsi" w:hAnsiTheme="minorHAnsi"/>
        </w:rPr>
        <w:instrText xml:space="preserve"> \* MERGEFORMAT </w:instrText>
      </w:r>
      <w:r w:rsidR="00C952F4" w:rsidRPr="0049714C">
        <w:rPr>
          <w:rStyle w:val="PhitekstChar"/>
          <w:rFonts w:asciiTheme="minorHAnsi" w:hAnsiTheme="minorHAnsi"/>
        </w:rPr>
      </w:r>
      <w:r w:rsidR="00C952F4" w:rsidRPr="0049714C">
        <w:rPr>
          <w:rStyle w:val="PhitekstChar"/>
          <w:rFonts w:asciiTheme="minorHAnsi" w:hAnsiTheme="minorHAnsi"/>
        </w:rPr>
        <w:fldChar w:fldCharType="separate"/>
      </w:r>
      <w:r w:rsidR="00405381" w:rsidRPr="00F50046">
        <w:t xml:space="preserve">Joonis </w:t>
      </w:r>
      <w:r w:rsidR="00405381">
        <w:t>2</w:t>
      </w:r>
      <w:r w:rsidR="00C952F4" w:rsidRPr="0049714C">
        <w:rPr>
          <w:rStyle w:val="PhitekstChar"/>
          <w:rFonts w:asciiTheme="minorHAnsi" w:hAnsiTheme="minorHAnsi"/>
        </w:rPr>
        <w:fldChar w:fldCharType="end"/>
      </w:r>
      <w:r w:rsidRPr="0049714C">
        <w:t>).</w:t>
      </w:r>
    </w:p>
    <w:p w14:paraId="7BEB9EDA" w14:textId="383FFE16" w:rsidR="00E015FB" w:rsidRPr="0049714C" w:rsidRDefault="00E015FB" w:rsidP="0049714C">
      <w:pPr>
        <w:pStyle w:val="Phitekst"/>
      </w:pPr>
      <w:bookmarkStart w:id="70" w:name="_Ref68016130"/>
      <w:bookmarkStart w:id="71" w:name="_Toc68514377"/>
      <w:r w:rsidRPr="0049714C">
        <w:t>Perioodil 202</w:t>
      </w:r>
      <w:r w:rsidR="00261BD2" w:rsidRPr="0049714C">
        <w:t>3</w:t>
      </w:r>
      <w:r w:rsidRPr="0049714C">
        <w:t>–2026 kasvab juriidilise isiku tulumaksu laekumine keskmiselt 4,</w:t>
      </w:r>
      <w:r w:rsidR="00261BD2" w:rsidRPr="0049714C">
        <w:t>0</w:t>
      </w:r>
      <w:r w:rsidRPr="0049714C">
        <w:t>% aastas.</w:t>
      </w:r>
    </w:p>
    <w:p w14:paraId="193A1632" w14:textId="41D885C1" w:rsidR="00E015FB" w:rsidRPr="00F50046" w:rsidRDefault="00E015FB" w:rsidP="0049714C">
      <w:pPr>
        <w:pStyle w:val="Pealdis"/>
      </w:pPr>
      <w:bookmarkStart w:id="72" w:name="_Ref100012298"/>
      <w:bookmarkStart w:id="73" w:name="_Toc100230271"/>
      <w:r w:rsidRPr="00F50046">
        <w:t xml:space="preserve">Joonis </w:t>
      </w:r>
      <w:fldSimple w:instr=" SEQ Joonis \* ARABIC ">
        <w:r w:rsidR="00486B68">
          <w:rPr>
            <w:noProof/>
          </w:rPr>
          <w:t>2</w:t>
        </w:r>
      </w:fldSimple>
      <w:bookmarkEnd w:id="70"/>
      <w:bookmarkEnd w:id="72"/>
      <w:r w:rsidRPr="00F50046">
        <w:t>. Erasektori dividendid pankadeta (mln eurot, %)</w:t>
      </w:r>
      <w:bookmarkEnd w:id="71"/>
      <w:bookmarkEnd w:id="73"/>
    </w:p>
    <w:p w14:paraId="64723F86" w14:textId="27116AD9" w:rsidR="00E015FB" w:rsidRDefault="00405381" w:rsidP="00E015FB">
      <w:pPr>
        <w:pStyle w:val="Phitekst"/>
        <w:rPr>
          <w:highlight w:val="yellow"/>
        </w:rPr>
      </w:pPr>
      <w:r>
        <w:rPr>
          <w:noProof/>
        </w:rPr>
        <w:drawing>
          <wp:inline distT="0" distB="0" distL="0" distR="0" wp14:anchorId="623CCBFD" wp14:editId="54BFD016">
            <wp:extent cx="2943225" cy="1687830"/>
            <wp:effectExtent l="0" t="0" r="0" b="0"/>
            <wp:docPr id="1" name="Diagramm 1">
              <a:extLst xmlns:a="http://schemas.openxmlformats.org/drawingml/2006/main">
                <a:ext uri="{FF2B5EF4-FFF2-40B4-BE49-F238E27FC236}">
                  <a16:creationId xmlns:a16="http://schemas.microsoft.com/office/drawing/2014/main" id="{00000000-0008-0000-0100-00004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253B977" w14:textId="1007016C" w:rsidR="00E015FB" w:rsidRPr="0049714C" w:rsidRDefault="00E015FB" w:rsidP="0049714C">
      <w:pPr>
        <w:jc w:val="both"/>
        <w:rPr>
          <w:rStyle w:val="RhutusChar"/>
          <w:rFonts w:asciiTheme="minorHAnsi" w:hAnsiTheme="minorHAnsi"/>
          <w:b w:val="0"/>
          <w:sz w:val="22"/>
        </w:rPr>
      </w:pPr>
      <w:r w:rsidRPr="0049714C">
        <w:rPr>
          <w:rStyle w:val="Tugev"/>
        </w:rPr>
        <w:t xml:space="preserve">Käibemaksu </w:t>
      </w:r>
      <w:r w:rsidRPr="0049714C">
        <w:rPr>
          <w:rStyle w:val="RhutusChar"/>
          <w:rFonts w:asciiTheme="minorHAnsi" w:hAnsiTheme="minorHAnsi"/>
          <w:b w:val="0"/>
          <w:sz w:val="22"/>
        </w:rPr>
        <w:t xml:space="preserve">2022. aasta tasumise prognoos </w:t>
      </w:r>
      <w:r w:rsidR="001405E8" w:rsidRPr="0049714C">
        <w:rPr>
          <w:rStyle w:val="RhutusChar"/>
          <w:rFonts w:asciiTheme="minorHAnsi" w:hAnsiTheme="minorHAnsi"/>
          <w:b w:val="0"/>
          <w:sz w:val="22"/>
        </w:rPr>
        <w:t xml:space="preserve">suurenes </w:t>
      </w:r>
      <w:r w:rsidRPr="0049714C">
        <w:rPr>
          <w:rStyle w:val="RhutusChar"/>
          <w:rFonts w:asciiTheme="minorHAnsi" w:hAnsiTheme="minorHAnsi"/>
          <w:b w:val="0"/>
          <w:sz w:val="22"/>
        </w:rPr>
        <w:t xml:space="preserve">võrreldes riigieelarves kavandatuga </w:t>
      </w:r>
      <w:r w:rsidR="00D94EC0" w:rsidRPr="0049714C">
        <w:rPr>
          <w:rStyle w:val="RhutusChar"/>
          <w:rFonts w:asciiTheme="minorHAnsi" w:hAnsiTheme="minorHAnsi"/>
          <w:b w:val="0"/>
          <w:sz w:val="22"/>
        </w:rPr>
        <w:t xml:space="preserve">155 </w:t>
      </w:r>
      <w:r w:rsidRPr="0049714C">
        <w:rPr>
          <w:rStyle w:val="RhutusChar"/>
          <w:rFonts w:asciiTheme="minorHAnsi" w:hAnsiTheme="minorHAnsi"/>
          <w:b w:val="0"/>
          <w:sz w:val="22"/>
        </w:rPr>
        <w:t>mln euro võrra 3 </w:t>
      </w:r>
      <w:r w:rsidR="00D94EC0" w:rsidRPr="0049714C">
        <w:rPr>
          <w:rStyle w:val="RhutusChar"/>
          <w:rFonts w:asciiTheme="minorHAnsi" w:hAnsiTheme="minorHAnsi"/>
          <w:b w:val="0"/>
          <w:sz w:val="22"/>
        </w:rPr>
        <w:t xml:space="preserve">088 </w:t>
      </w:r>
      <w:r w:rsidRPr="0049714C">
        <w:rPr>
          <w:rStyle w:val="RhutusChar"/>
          <w:rFonts w:asciiTheme="minorHAnsi" w:hAnsiTheme="minorHAnsi"/>
          <w:b w:val="0"/>
          <w:sz w:val="22"/>
        </w:rPr>
        <w:t>mln euroni, mis tulene</w:t>
      </w:r>
      <w:r w:rsidR="001405E8" w:rsidRPr="0049714C">
        <w:rPr>
          <w:rStyle w:val="RhutusChar"/>
          <w:rFonts w:asciiTheme="minorHAnsi" w:hAnsiTheme="minorHAnsi"/>
          <w:b w:val="0"/>
          <w:sz w:val="22"/>
        </w:rPr>
        <w:t>s</w:t>
      </w:r>
      <w:r w:rsidRPr="0049714C">
        <w:rPr>
          <w:rStyle w:val="RhutusChar"/>
          <w:rFonts w:asciiTheme="minorHAnsi" w:hAnsiTheme="minorHAnsi"/>
          <w:b w:val="0"/>
          <w:sz w:val="22"/>
        </w:rPr>
        <w:t xml:space="preserve"> </w:t>
      </w:r>
      <w:r w:rsidR="00405381" w:rsidRPr="0049714C">
        <w:rPr>
          <w:rStyle w:val="RhutusChar"/>
          <w:rFonts w:asciiTheme="minorHAnsi" w:hAnsiTheme="minorHAnsi"/>
          <w:b w:val="0"/>
          <w:sz w:val="22"/>
        </w:rPr>
        <w:t xml:space="preserve">eelkõige </w:t>
      </w:r>
      <w:r w:rsidRPr="0049714C">
        <w:rPr>
          <w:rStyle w:val="RhutusChar"/>
          <w:rFonts w:asciiTheme="minorHAnsi" w:hAnsiTheme="minorHAnsi"/>
          <w:b w:val="0"/>
          <w:sz w:val="22"/>
        </w:rPr>
        <w:t>parema</w:t>
      </w:r>
      <w:r w:rsidR="00126BA6" w:rsidRPr="0049714C">
        <w:rPr>
          <w:rStyle w:val="RhutusChar"/>
          <w:rFonts w:asciiTheme="minorHAnsi" w:hAnsiTheme="minorHAnsi"/>
          <w:b w:val="0"/>
          <w:sz w:val="22"/>
        </w:rPr>
        <w:t>st</w:t>
      </w:r>
      <w:r w:rsidRPr="0049714C">
        <w:rPr>
          <w:rStyle w:val="RhutusChar"/>
          <w:rFonts w:asciiTheme="minorHAnsi" w:hAnsiTheme="minorHAnsi"/>
          <w:b w:val="0"/>
          <w:sz w:val="22"/>
        </w:rPr>
        <w:t xml:space="preserve"> käibemaksu </w:t>
      </w:r>
      <w:r w:rsidR="00607B78" w:rsidRPr="0049714C">
        <w:rPr>
          <w:rStyle w:val="RhutusChar"/>
          <w:rFonts w:asciiTheme="minorHAnsi" w:hAnsiTheme="minorHAnsi"/>
          <w:b w:val="0"/>
          <w:sz w:val="22"/>
        </w:rPr>
        <w:t>tasumis</w:t>
      </w:r>
      <w:r w:rsidR="00126BA6" w:rsidRPr="0049714C">
        <w:rPr>
          <w:rStyle w:val="RhutusChar"/>
          <w:rFonts w:asciiTheme="minorHAnsi" w:hAnsiTheme="minorHAnsi"/>
          <w:b w:val="0"/>
          <w:sz w:val="22"/>
        </w:rPr>
        <w:t>est 2021. aastal kui</w:t>
      </w:r>
      <w:r w:rsidR="00DD1792" w:rsidRPr="0049714C">
        <w:rPr>
          <w:rStyle w:val="RhutusChar"/>
          <w:rFonts w:asciiTheme="minorHAnsi" w:hAnsiTheme="minorHAnsi"/>
          <w:b w:val="0"/>
          <w:sz w:val="22"/>
        </w:rPr>
        <w:t xml:space="preserve"> eelarves</w:t>
      </w:r>
      <w:r w:rsidR="00126BA6" w:rsidRPr="0049714C">
        <w:rPr>
          <w:rStyle w:val="RhutusChar"/>
          <w:rFonts w:asciiTheme="minorHAnsi" w:hAnsiTheme="minorHAnsi"/>
          <w:b w:val="0"/>
          <w:sz w:val="22"/>
        </w:rPr>
        <w:t xml:space="preserve"> oodatud</w:t>
      </w:r>
      <w:r w:rsidRPr="0049714C">
        <w:rPr>
          <w:rStyle w:val="RhutusChar"/>
          <w:rFonts w:asciiTheme="minorHAnsi" w:hAnsiTheme="minorHAnsi"/>
          <w:b w:val="0"/>
          <w:sz w:val="22"/>
        </w:rPr>
        <w:t>.</w:t>
      </w:r>
      <w:r w:rsidR="00126BA6" w:rsidRPr="0049714C">
        <w:rPr>
          <w:rStyle w:val="RhutusChar"/>
          <w:rFonts w:asciiTheme="minorHAnsi" w:hAnsiTheme="minorHAnsi"/>
          <w:b w:val="0"/>
          <w:sz w:val="22"/>
        </w:rPr>
        <w:t xml:space="preserve"> See oli tingitud</w:t>
      </w:r>
      <w:r w:rsidR="0030670A" w:rsidRPr="0049714C">
        <w:rPr>
          <w:rStyle w:val="RhutusChar"/>
          <w:rFonts w:asciiTheme="minorHAnsi" w:hAnsiTheme="minorHAnsi"/>
          <w:b w:val="0"/>
          <w:sz w:val="22"/>
        </w:rPr>
        <w:t xml:space="preserve"> kiirema</w:t>
      </w:r>
      <w:r w:rsidR="00126BA6" w:rsidRPr="0049714C">
        <w:rPr>
          <w:rStyle w:val="RhutusChar"/>
          <w:rFonts w:asciiTheme="minorHAnsi" w:hAnsiTheme="minorHAnsi"/>
          <w:b w:val="0"/>
          <w:sz w:val="22"/>
        </w:rPr>
        <w:t>st</w:t>
      </w:r>
      <w:r w:rsidR="0030670A" w:rsidRPr="0049714C">
        <w:rPr>
          <w:rStyle w:val="RhutusChar"/>
          <w:rFonts w:asciiTheme="minorHAnsi" w:hAnsiTheme="minorHAnsi"/>
          <w:b w:val="0"/>
          <w:sz w:val="22"/>
        </w:rPr>
        <w:t xml:space="preserve"> majanduse taastumise</w:t>
      </w:r>
      <w:r w:rsidR="00126BA6" w:rsidRPr="0049714C">
        <w:rPr>
          <w:rStyle w:val="RhutusChar"/>
          <w:rFonts w:asciiTheme="minorHAnsi" w:hAnsiTheme="minorHAnsi"/>
          <w:b w:val="0"/>
          <w:sz w:val="22"/>
        </w:rPr>
        <w:t>st, samuti hoogsalt</w:t>
      </w:r>
      <w:r w:rsidR="0030670A" w:rsidRPr="0049714C">
        <w:rPr>
          <w:rStyle w:val="RhutusChar"/>
          <w:rFonts w:asciiTheme="minorHAnsi" w:hAnsiTheme="minorHAnsi"/>
          <w:b w:val="0"/>
          <w:sz w:val="22"/>
        </w:rPr>
        <w:t xml:space="preserve"> pensionisambast kasutusse võetud raha</w:t>
      </w:r>
      <w:r w:rsidR="00405381">
        <w:rPr>
          <w:rStyle w:val="RhutusChar"/>
          <w:rFonts w:asciiTheme="minorHAnsi" w:hAnsiTheme="minorHAnsi"/>
          <w:b w:val="0"/>
          <w:sz w:val="22"/>
        </w:rPr>
        <w:t>st</w:t>
      </w:r>
      <w:r w:rsidR="0030670A" w:rsidRPr="0049714C">
        <w:rPr>
          <w:rStyle w:val="RhutusChar"/>
          <w:rFonts w:asciiTheme="minorHAnsi" w:hAnsiTheme="minorHAnsi"/>
          <w:b w:val="0"/>
          <w:sz w:val="22"/>
        </w:rPr>
        <w:t xml:space="preserve"> ning järk</w:t>
      </w:r>
      <w:r w:rsidR="00A14293" w:rsidRPr="0049714C">
        <w:rPr>
          <w:rStyle w:val="RhutusChar"/>
          <w:rFonts w:asciiTheme="minorHAnsi" w:hAnsiTheme="minorHAnsi"/>
          <w:b w:val="0"/>
          <w:sz w:val="22"/>
        </w:rPr>
        <w:t>-</w:t>
      </w:r>
      <w:r w:rsidR="0030670A" w:rsidRPr="0049714C">
        <w:rPr>
          <w:rStyle w:val="RhutusChar"/>
          <w:rFonts w:asciiTheme="minorHAnsi" w:hAnsiTheme="minorHAnsi"/>
          <w:b w:val="0"/>
          <w:sz w:val="22"/>
        </w:rPr>
        <w:t>järgult kiirenenud hinnakasv</w:t>
      </w:r>
      <w:r w:rsidR="00126BA6" w:rsidRPr="0049714C">
        <w:rPr>
          <w:rStyle w:val="RhutusChar"/>
          <w:rFonts w:asciiTheme="minorHAnsi" w:hAnsiTheme="minorHAnsi"/>
          <w:b w:val="0"/>
          <w:sz w:val="22"/>
        </w:rPr>
        <w:t>u</w:t>
      </w:r>
      <w:r w:rsidR="00405381">
        <w:rPr>
          <w:rStyle w:val="RhutusChar"/>
          <w:rFonts w:asciiTheme="minorHAnsi" w:hAnsiTheme="minorHAnsi"/>
          <w:b w:val="0"/>
          <w:sz w:val="22"/>
        </w:rPr>
        <w:t>st</w:t>
      </w:r>
      <w:r w:rsidR="0030670A" w:rsidRPr="0049714C">
        <w:rPr>
          <w:rStyle w:val="RhutusChar"/>
          <w:rFonts w:asciiTheme="minorHAnsi" w:hAnsiTheme="minorHAnsi"/>
          <w:b w:val="0"/>
          <w:sz w:val="22"/>
        </w:rPr>
        <w:t>.</w:t>
      </w:r>
    </w:p>
    <w:p w14:paraId="30FEB4CA" w14:textId="128AE9F4" w:rsidR="00E015FB" w:rsidRPr="0049714C" w:rsidRDefault="00E015FB" w:rsidP="0049714C">
      <w:pPr>
        <w:pStyle w:val="Phitekst"/>
      </w:pPr>
      <w:r w:rsidRPr="0049714C">
        <w:t>Lisaks aitab käibemaksu</w:t>
      </w:r>
      <w:r w:rsidR="00405381">
        <w:t xml:space="preserve"> </w:t>
      </w:r>
      <w:r w:rsidRPr="0049714C">
        <w:t>tulu ülespoole korrigeerimisele kaasa positiivsem käibemaksuaugu trend ehk varimajanduse vähenemine, mis moodustab prognoosi kohaselt käibemaksu</w:t>
      </w:r>
      <w:r w:rsidR="00405381">
        <w:t xml:space="preserve"> </w:t>
      </w:r>
      <w:r w:rsidRPr="0049714C">
        <w:t xml:space="preserve">tulust 2,4%. Tekkinud käibemaksuvõlga </w:t>
      </w:r>
      <w:r w:rsidR="00DD1792" w:rsidRPr="0049714C">
        <w:t xml:space="preserve">vähendatakse </w:t>
      </w:r>
      <w:r w:rsidRPr="0049714C">
        <w:t>ettevõtete poolt maksu- ja tolliametile tänavu oo</w:t>
      </w:r>
      <w:r w:rsidR="00820CC3">
        <w:t>tuste</w:t>
      </w:r>
      <w:r w:rsidRPr="0049714C">
        <w:t xml:space="preserve"> kohaselt 18 mln euro ulatuses, mis samuti avaldab tasumise kasvule positiivset mõju. </w:t>
      </w:r>
      <w:r w:rsidR="00D94EC0" w:rsidRPr="0049714C">
        <w:t>Ka l</w:t>
      </w:r>
      <w:r w:rsidRPr="0049714C">
        <w:t>isaeelarve meetmete teise ringi mõju käibemaksu tasumise</w:t>
      </w:r>
      <w:r w:rsidR="00607B78" w:rsidRPr="0049714C">
        <w:t>le</w:t>
      </w:r>
      <w:r w:rsidRPr="0049714C">
        <w:t xml:space="preserve"> ulatub tänavu </w:t>
      </w:r>
      <w:r w:rsidR="00D94EC0" w:rsidRPr="0049714C">
        <w:t xml:space="preserve">18 </w:t>
      </w:r>
      <w:r w:rsidRPr="0049714C">
        <w:t xml:space="preserve">mln euroni. </w:t>
      </w:r>
    </w:p>
    <w:p w14:paraId="366A89D1" w14:textId="725D150E" w:rsidR="00E015FB" w:rsidRPr="0049714C" w:rsidRDefault="00E015FB" w:rsidP="0049714C">
      <w:pPr>
        <w:pStyle w:val="Phitekst"/>
      </w:pPr>
      <w:r w:rsidRPr="0049714C">
        <w:t>Sarnaselt 2021. aastale annab ka sel aastal käibemaksu</w:t>
      </w:r>
      <w:r w:rsidR="00820CC3">
        <w:t xml:space="preserve"> </w:t>
      </w:r>
      <w:r w:rsidRPr="0049714C">
        <w:t>tulu suurenemisele positiivse impulsi II</w:t>
      </w:r>
      <w:r w:rsidR="00820CC3">
        <w:t> </w:t>
      </w:r>
      <w:r w:rsidRPr="0049714C">
        <w:t xml:space="preserve">pensionisambast vabanenud raha kasutamine, kuid seda oluliselt väiksemal määral. Tänavu </w:t>
      </w:r>
      <w:r w:rsidRPr="0049714C">
        <w:t>vabaneb pensionisääste ligikaudu neljandik mullusest mahust.</w:t>
      </w:r>
    </w:p>
    <w:p w14:paraId="3035E800" w14:textId="086586C8" w:rsidR="00E015FB" w:rsidRPr="0049714C" w:rsidRDefault="00E015FB" w:rsidP="0049714C">
      <w:pPr>
        <w:pStyle w:val="Phitekst"/>
      </w:pPr>
      <w:r w:rsidRPr="0049714C">
        <w:t xml:space="preserve">Kuigi eraisikute finantsseis on tugev, siis hiljuti pandeemiast taastunud eratarbimise puhul on oodata tagasihoidlikumat kasvu sõja ja ebastabiilse geopoliitilise olukorra tõttu, mille taustal on oluliselt kiirenenud ka inflatsioon. </w:t>
      </w:r>
      <w:r w:rsidR="001E7735" w:rsidRPr="0049714C">
        <w:t>Ühelt poolt annab üldine hinnakasv tõuke käibemaksu tasumis</w:t>
      </w:r>
      <w:r w:rsidR="007D328A" w:rsidRPr="0049714C">
        <w:t>ele</w:t>
      </w:r>
      <w:r w:rsidR="001E7735" w:rsidRPr="0049714C">
        <w:t xml:space="preserve">, </w:t>
      </w:r>
      <w:r w:rsidR="007D328A" w:rsidRPr="0049714C">
        <w:t xml:space="preserve">teisalt </w:t>
      </w:r>
      <w:r w:rsidRPr="0049714C">
        <w:t>põhjust</w:t>
      </w:r>
      <w:r w:rsidR="001E7735" w:rsidRPr="0049714C">
        <w:t>avad ärevad ajad</w:t>
      </w:r>
      <w:r w:rsidRPr="0049714C">
        <w:t xml:space="preserve"> tarbijate kindlustunde halvenemist, mis ühtlasi mõju</w:t>
      </w:r>
      <w:r w:rsidR="00321454" w:rsidRPr="0049714C">
        <w:t>b ka</w:t>
      </w:r>
      <w:r w:rsidRPr="0049714C">
        <w:t xml:space="preserve"> käibemaksu</w:t>
      </w:r>
      <w:r w:rsidR="00DD1792" w:rsidRPr="0049714C">
        <w:t xml:space="preserve"> tasumise</w:t>
      </w:r>
      <w:r w:rsidRPr="0049714C">
        <w:t xml:space="preserve"> </w:t>
      </w:r>
      <w:r w:rsidR="001E7735" w:rsidRPr="0049714C">
        <w:t xml:space="preserve">suurenemisele </w:t>
      </w:r>
      <w:r w:rsidRPr="0049714C">
        <w:t>pärssivalt.</w:t>
      </w:r>
    </w:p>
    <w:p w14:paraId="1F121002" w14:textId="77FDAEF9" w:rsidR="00E015FB" w:rsidRPr="0049714C" w:rsidRDefault="00E015FB" w:rsidP="0049714C">
      <w:pPr>
        <w:pStyle w:val="Phitekst"/>
      </w:pPr>
      <w:r w:rsidRPr="0049714C">
        <w:t>Prognoosiperioodi vältel 2022-2026 kasvab käibemaksu tasumine aastas keskmiselt 4,2%.</w:t>
      </w:r>
      <w:bookmarkStart w:id="74" w:name="_Hlk49790768"/>
      <w:bookmarkStart w:id="75" w:name="_Ref5032648"/>
      <w:bookmarkStart w:id="76" w:name="_Ref5007245"/>
    </w:p>
    <w:p w14:paraId="12FCE58F" w14:textId="2D4D8F15" w:rsidR="00E015FB" w:rsidRPr="0049714C" w:rsidRDefault="00E015FB" w:rsidP="00E015FB">
      <w:pPr>
        <w:jc w:val="both"/>
      </w:pPr>
      <w:r w:rsidRPr="0049714C">
        <w:rPr>
          <w:rStyle w:val="Tugev"/>
        </w:rPr>
        <w:t>Aktsiiside</w:t>
      </w:r>
      <w:r w:rsidRPr="0049714C">
        <w:t xml:space="preserve"> tasumiste kasv pöördub kevadprognoosi kohaselt käesoleval aastal langusess</w:t>
      </w:r>
      <w:r w:rsidR="003B151D" w:rsidRPr="0049714C">
        <w:t>e</w:t>
      </w:r>
      <w:r w:rsidRPr="0049714C">
        <w:t>. Rekordeid püstitavad energiahinnad</w:t>
      </w:r>
      <w:r w:rsidR="009D7745" w:rsidRPr="0049714C">
        <w:t xml:space="preserve">, </w:t>
      </w:r>
      <w:r w:rsidRPr="0049714C">
        <w:t>järjest kallinevad toorained</w:t>
      </w:r>
      <w:r w:rsidR="009D7745" w:rsidRPr="0049714C">
        <w:t xml:space="preserve"> ning eratarbijate ostujõu vähenemine</w:t>
      </w:r>
      <w:r w:rsidRPr="0049714C">
        <w:t xml:space="preserve"> on peamisteks põhjusteks, miks aktsiiside tasumis</w:t>
      </w:r>
      <w:r w:rsidR="009D7745" w:rsidRPr="0049714C">
        <w:t>e</w:t>
      </w:r>
      <w:r w:rsidRPr="0049714C">
        <w:t xml:space="preserve"> prognoosi on võrreldes riigieelarvesse planeerituga allapoole korrigeeritud. Sõjategevus ja </w:t>
      </w:r>
      <w:r w:rsidR="00820CC3">
        <w:t>selle</w:t>
      </w:r>
      <w:r w:rsidR="00BA3260">
        <w:t xml:space="preserve"> tõttu kehtestatud </w:t>
      </w:r>
      <w:r w:rsidR="008E6B4E" w:rsidRPr="0049714C">
        <w:t>majandus</w:t>
      </w:r>
      <w:r w:rsidRPr="0049714C">
        <w:t>sanktsioonid suurendavad ebakindlust ja ebamäärasust</w:t>
      </w:r>
      <w:r w:rsidR="008E6B4E" w:rsidRPr="0049714C">
        <w:t xml:space="preserve"> ning ettevõtetel tuleb paljud senised tarneahelad ümber kujundada</w:t>
      </w:r>
      <w:r w:rsidRPr="0049714C">
        <w:t xml:space="preserve">. </w:t>
      </w:r>
    </w:p>
    <w:p w14:paraId="0AFF67B5" w14:textId="34314A26" w:rsidR="00E015FB" w:rsidRPr="0049714C" w:rsidRDefault="00E015FB" w:rsidP="00AB4404">
      <w:pPr>
        <w:pStyle w:val="Phitekst"/>
      </w:pPr>
      <w:r w:rsidRPr="0049714C">
        <w:t>Käesolevaks aastaks on</w:t>
      </w:r>
      <w:r w:rsidRPr="008A227A">
        <w:rPr>
          <w:rFonts w:ascii="Segoe UI" w:hAnsi="Segoe UI"/>
          <w:sz w:val="20"/>
        </w:rPr>
        <w:t xml:space="preserve"> </w:t>
      </w:r>
      <w:r w:rsidRPr="0049714C">
        <w:rPr>
          <w:rStyle w:val="Tugev"/>
        </w:rPr>
        <w:t>kütuseaktsiisi</w:t>
      </w:r>
      <w:r w:rsidRPr="008A227A">
        <w:rPr>
          <w:rFonts w:ascii="Segoe UI" w:hAnsi="Segoe UI"/>
          <w:sz w:val="20"/>
        </w:rPr>
        <w:t xml:space="preserve"> </w:t>
      </w:r>
      <w:r w:rsidRPr="0049714C">
        <w:t>tasumiseks prognoositud 49</w:t>
      </w:r>
      <w:r w:rsidR="001A2EFF">
        <w:t>4</w:t>
      </w:r>
      <w:r w:rsidRPr="0049714C">
        <w:t xml:space="preserve"> mln eurot, mis on </w:t>
      </w:r>
      <w:r w:rsidR="001A2EFF">
        <w:t>2,4</w:t>
      </w:r>
      <w:r w:rsidRPr="0049714C">
        <w:t xml:space="preserve">% vähem kui aasta varem ning </w:t>
      </w:r>
      <w:r w:rsidR="001A2EFF">
        <w:t>30</w:t>
      </w:r>
      <w:r w:rsidRPr="0049714C">
        <w:t xml:space="preserve"> mln eurot vähem kui riigieelarvesse planeeritud. Bensiini ja diislikütuse deklareeritavad kogused on tugevalt mõjutatud kõrgetest maailmaturu naftahindadest. Võrreldes eelmise aastaga suurene</w:t>
      </w:r>
      <w:r w:rsidR="00A9204A">
        <w:t>b</w:t>
      </w:r>
      <w:r w:rsidRPr="0049714C">
        <w:t xml:space="preserve"> prognoosi kohaselt tänavu bensiini keskmine jaehind 21% ning diislikütuse jaehind 26,3%</w:t>
      </w:r>
      <w:r w:rsidR="00A9204A">
        <w:t xml:space="preserve"> võrra</w:t>
      </w:r>
      <w:r w:rsidRPr="0049714C">
        <w:t xml:space="preserve">. Prognoosi kohaselt väheneb 2022. aastal deklareerimine bensiinilt </w:t>
      </w:r>
      <w:r w:rsidR="001A2EFF">
        <w:t>4</w:t>
      </w:r>
      <w:r w:rsidRPr="0049714C">
        <w:t xml:space="preserve">% ja diislikütuselt 2% võrreldes aasta varasemaga. </w:t>
      </w:r>
    </w:p>
    <w:p w14:paraId="033A4C8C" w14:textId="07A86803" w:rsidR="00E015FB" w:rsidRPr="0049714C" w:rsidRDefault="00E015FB" w:rsidP="0049714C">
      <w:pPr>
        <w:pStyle w:val="Phitekst"/>
      </w:pPr>
      <w:r w:rsidRPr="0049714C">
        <w:t>Perioodil 2023</w:t>
      </w:r>
      <w:r w:rsidR="00022BDA" w:rsidRPr="0049714C">
        <w:t>–</w:t>
      </w:r>
      <w:r w:rsidRPr="0049714C">
        <w:t xml:space="preserve">2026 kasvab kütuseaktsiisi tasumine keskmiselt 5% aastas ning seda peamiselt diislikütuse, maagaasi ja elektri aktsiisimäärade iga-aastastest tõusudest. </w:t>
      </w:r>
    </w:p>
    <w:bookmarkEnd w:id="74"/>
    <w:bookmarkEnd w:id="75"/>
    <w:bookmarkEnd w:id="76"/>
    <w:p w14:paraId="6E973667" w14:textId="11238141" w:rsidR="00E015FB" w:rsidRPr="0049714C" w:rsidRDefault="00E015FB" w:rsidP="00AB4404">
      <w:pPr>
        <w:pStyle w:val="Phitekst"/>
      </w:pPr>
      <w:r w:rsidRPr="0049714C">
        <w:rPr>
          <w:b/>
          <w:bCs/>
        </w:rPr>
        <w:t>Alkoholiaktsiisi</w:t>
      </w:r>
      <w:r w:rsidRPr="0049714C">
        <w:t xml:space="preserve"> tasumise prognoosi on selleks aastaks võrreldes riigieelarvesse planeerituga langetatud </w:t>
      </w:r>
      <w:r w:rsidR="001A2EFF">
        <w:t>6</w:t>
      </w:r>
      <w:r w:rsidRPr="0049714C">
        <w:t xml:space="preserve"> mln euro võrra 2</w:t>
      </w:r>
      <w:r w:rsidR="001A2EFF">
        <w:t>22</w:t>
      </w:r>
      <w:r w:rsidRPr="0049714C">
        <w:t xml:space="preserve"> mln eurole ning mida on 0,</w:t>
      </w:r>
      <w:r w:rsidR="001A2EFF">
        <w:t>8</w:t>
      </w:r>
      <w:r w:rsidRPr="0049714C">
        <w:t xml:space="preserve">% vähem kui aasta varem. Käesoleval aastal on oodata keskmiselt 5% alkohoolsete jookide kallinemist. Seoses ostujõu vähenemisega kahaneb sellel aastal eelkõige </w:t>
      </w:r>
      <w:r w:rsidR="00917E29">
        <w:t>E</w:t>
      </w:r>
      <w:r w:rsidRPr="0049714C">
        <w:t xml:space="preserve">esti elanike tarbimine. Positiivset mõju on oodata turistide naasmisest ja seda eelkõige suvekuudel ning </w:t>
      </w:r>
      <w:r w:rsidR="003B151D" w:rsidRPr="0049714C">
        <w:t>S</w:t>
      </w:r>
      <w:r w:rsidRPr="0049714C">
        <w:t xml:space="preserve">oome turistide näol. </w:t>
      </w:r>
      <w:r w:rsidRPr="0049714C">
        <w:lastRenderedPageBreak/>
        <w:t>Sõjategevusest tingitud hirm ning piirangud reisimisele mõju</w:t>
      </w:r>
      <w:r w:rsidR="005A1CDB">
        <w:t>vad</w:t>
      </w:r>
      <w:r w:rsidRPr="0049714C">
        <w:t xml:space="preserve"> kindlasti </w:t>
      </w:r>
      <w:r w:rsidR="005A1CDB">
        <w:t xml:space="preserve">turismile </w:t>
      </w:r>
      <w:r w:rsidRPr="0049714C">
        <w:t xml:space="preserve">pärssivalt ning pandeemiaeelset taset ei saavutata lähiaastatel. Prognoosi kohaselt </w:t>
      </w:r>
      <w:r w:rsidR="001A2EFF">
        <w:t>väheneb</w:t>
      </w:r>
      <w:r w:rsidRPr="0049714C">
        <w:t xml:space="preserve"> nii kange alkoholi kui </w:t>
      </w:r>
      <w:r w:rsidR="00A9204A">
        <w:t xml:space="preserve">ka </w:t>
      </w:r>
      <w:r w:rsidRPr="0049714C">
        <w:t>õlle deklareerimise eelmise aastaga võrreldes, vastavalt -</w:t>
      </w:r>
      <w:r w:rsidR="001A2EFF">
        <w:t>1,7</w:t>
      </w:r>
      <w:r w:rsidRPr="0049714C">
        <w:t xml:space="preserve">% ja </w:t>
      </w:r>
      <w:r w:rsidR="001A2EFF">
        <w:t>-</w:t>
      </w:r>
      <w:r w:rsidRPr="0049714C">
        <w:t>0,</w:t>
      </w:r>
      <w:r w:rsidR="001A2EFF">
        <w:t>6</w:t>
      </w:r>
      <w:r w:rsidRPr="0049714C">
        <w:t>%.</w:t>
      </w:r>
    </w:p>
    <w:p w14:paraId="3A0EF951" w14:textId="1B0D4251" w:rsidR="00E015FB" w:rsidRPr="0049714C" w:rsidRDefault="00E015FB" w:rsidP="00AB4404">
      <w:pPr>
        <w:pStyle w:val="Phitekst"/>
      </w:pPr>
      <w:r w:rsidRPr="0049714C">
        <w:t>Perioodil 2023</w:t>
      </w:r>
      <w:r w:rsidR="00022BDA" w:rsidRPr="0049714C">
        <w:t>–</w:t>
      </w:r>
      <w:r w:rsidRPr="0049714C">
        <w:t>2026 suurenevad alkoholiaktsiisi tasumised keskmiselt 1,5% aastas.</w:t>
      </w:r>
    </w:p>
    <w:p w14:paraId="6B7F788E" w14:textId="601C74C3" w:rsidR="00E015FB" w:rsidRPr="00AB4404" w:rsidRDefault="00E015FB" w:rsidP="00AB4404">
      <w:pPr>
        <w:pStyle w:val="Phitekst"/>
      </w:pPr>
      <w:r w:rsidRPr="00201782">
        <w:rPr>
          <w:rFonts w:ascii="Segoe UI" w:hAnsi="Segoe UI"/>
          <w:b/>
          <w:bCs/>
          <w:sz w:val="20"/>
        </w:rPr>
        <w:t>Tubakaaktsiisi</w:t>
      </w:r>
      <w:r>
        <w:rPr>
          <w:rFonts w:ascii="Segoe UI" w:hAnsi="Segoe UI"/>
          <w:sz w:val="20"/>
        </w:rPr>
        <w:t xml:space="preserve"> </w:t>
      </w:r>
      <w:r w:rsidRPr="00AB4404">
        <w:t xml:space="preserve">2022. aasta </w:t>
      </w:r>
      <w:r w:rsidR="003B151D" w:rsidRPr="00AB4404">
        <w:t xml:space="preserve">laekumise </w:t>
      </w:r>
      <w:r w:rsidRPr="00AB4404">
        <w:t xml:space="preserve">prognoos võrreldes riigieelarves kavandatuga </w:t>
      </w:r>
      <w:r w:rsidR="002C2E21">
        <w:t>ei muutunud ning aasta lõpuks on oodata</w:t>
      </w:r>
      <w:r w:rsidRPr="00AB4404">
        <w:t xml:space="preserve"> 248 mln euro</w:t>
      </w:r>
      <w:r w:rsidR="002C2E21">
        <w:t xml:space="preserve"> suurust laekumist</w:t>
      </w:r>
      <w:r w:rsidRPr="00AB4404">
        <w:t xml:space="preserve">. Tubakaaktsiisi käesoleva aasta prognoos </w:t>
      </w:r>
      <w:r w:rsidRPr="00AB4404">
        <w:t xml:space="preserve">suureneb võrreldes eelmise aastaga </w:t>
      </w:r>
      <w:r w:rsidR="002C2E21">
        <w:t>1,7</w:t>
      </w:r>
      <w:r w:rsidRPr="00AB4404">
        <w:t xml:space="preserve">% ning on ühtlasi aktsiisidest ainuke, </w:t>
      </w:r>
      <w:r w:rsidR="003B151D" w:rsidRPr="00AB4404">
        <w:t xml:space="preserve">mille </w:t>
      </w:r>
      <w:r w:rsidRPr="00AB4404">
        <w:t>laekum</w:t>
      </w:r>
      <w:r w:rsidR="003B151D" w:rsidRPr="00AB4404">
        <w:t>ine</w:t>
      </w:r>
      <w:r w:rsidRPr="00AB4404">
        <w:t xml:space="preserve"> aastaga suuren</w:t>
      </w:r>
      <w:r w:rsidR="00275A5E" w:rsidRPr="00AB4404">
        <w:t>eb</w:t>
      </w:r>
      <w:r w:rsidRPr="00AB4404">
        <w:t xml:space="preserve">. Suurenemise taga </w:t>
      </w:r>
      <w:r w:rsidR="00275A5E" w:rsidRPr="00AB4404">
        <w:t xml:space="preserve">on </w:t>
      </w:r>
      <w:r w:rsidRPr="00AB4404">
        <w:t>peamiselt mitme tubakatoote aktsiisimäära tõstmised. Sigarettide deklareerimine väheneb sellel aastal 2,8% ning sigaretipaki keskmine hinnatõus peaks jääma 4,5% juurde.</w:t>
      </w:r>
    </w:p>
    <w:p w14:paraId="1440E184" w14:textId="5F1C1343" w:rsidR="00E015FB" w:rsidRPr="00AB4404" w:rsidRDefault="00E015FB" w:rsidP="00AB4404">
      <w:pPr>
        <w:pStyle w:val="Phitekst"/>
      </w:pPr>
      <w:r w:rsidRPr="00AB4404">
        <w:t>Perioodil 2023</w:t>
      </w:r>
      <w:r w:rsidR="00022BDA" w:rsidRPr="0049714C">
        <w:t>–</w:t>
      </w:r>
      <w:r w:rsidRPr="00AB4404">
        <w:t>2026 hakkavad tubakaaktsiisi tasumised vähenema, kuna alates 2024. aastast ei ole aktsiisimäärade tõusu planeeritud ning keskmine vähenemine jääb 0,2% juurde.</w:t>
      </w:r>
    </w:p>
    <w:p w14:paraId="519943B7" w14:textId="77777777" w:rsidR="00C74FB5" w:rsidRPr="005822EA" w:rsidRDefault="00C74FB5" w:rsidP="00BB7CAC">
      <w:pPr>
        <w:jc w:val="both"/>
        <w:rPr>
          <w:highlight w:val="yellow"/>
        </w:rPr>
      </w:pPr>
      <w:bookmarkStart w:id="77" w:name="_Hlk99731700"/>
      <w:bookmarkEnd w:id="58"/>
    </w:p>
    <w:p w14:paraId="130E4F58" w14:textId="77777777" w:rsidR="00C74FB5" w:rsidRDefault="00C74FB5" w:rsidP="007451D5">
      <w:pPr>
        <w:pStyle w:val="Alapunkt"/>
        <w:jc w:val="both"/>
        <w:rPr>
          <w:highlight w:val="yellow"/>
        </w:rPr>
        <w:sectPr w:rsidR="00C74FB5" w:rsidSect="00E015FB">
          <w:endnotePr>
            <w:numFmt w:val="decimal"/>
          </w:endnotePr>
          <w:type w:val="continuous"/>
          <w:pgSz w:w="11906" w:h="16838"/>
          <w:pgMar w:top="964" w:right="964" w:bottom="964" w:left="964" w:header="709" w:footer="709" w:gutter="0"/>
          <w:cols w:num="2" w:space="708"/>
          <w:docGrid w:linePitch="360"/>
        </w:sectPr>
      </w:pPr>
    </w:p>
    <w:p w14:paraId="3F454978" w14:textId="453811C3" w:rsidR="007451D5" w:rsidRPr="005822EA" w:rsidRDefault="007451D5" w:rsidP="007451D5">
      <w:pPr>
        <w:pStyle w:val="Alapunkt"/>
        <w:jc w:val="both"/>
        <w:rPr>
          <w:highlight w:val="yellow"/>
        </w:rPr>
        <w:sectPr w:rsidR="007451D5" w:rsidRPr="005822EA" w:rsidSect="00E015FB">
          <w:endnotePr>
            <w:numFmt w:val="decimal"/>
          </w:endnotePr>
          <w:type w:val="continuous"/>
          <w:pgSz w:w="11906" w:h="16838"/>
          <w:pgMar w:top="964" w:right="964" w:bottom="964" w:left="964" w:header="709" w:footer="709" w:gutter="0"/>
          <w:cols w:num="2" w:space="708"/>
          <w:docGrid w:linePitch="360"/>
        </w:sectPr>
      </w:pPr>
    </w:p>
    <w:p w14:paraId="44C8EDF0" w14:textId="3531EC83" w:rsidR="00C74FB5" w:rsidRDefault="00C74FB5" w:rsidP="00C74FB5">
      <w:pPr>
        <w:pStyle w:val="Pealkiri3"/>
        <w:jc w:val="both"/>
        <w:rPr>
          <w:rStyle w:val="longtext"/>
        </w:rPr>
        <w:sectPr w:rsidR="00C74FB5" w:rsidSect="00C74FB5">
          <w:footerReference w:type="default" r:id="rId24"/>
          <w:footerReference w:type="first" r:id="rId25"/>
          <w:endnotePr>
            <w:numFmt w:val="decimal"/>
          </w:endnotePr>
          <w:type w:val="continuous"/>
          <w:pgSz w:w="11906" w:h="16838"/>
          <w:pgMar w:top="964" w:right="964" w:bottom="964" w:left="964" w:header="709" w:footer="709" w:gutter="0"/>
          <w:cols w:space="708"/>
          <w:docGrid w:linePitch="360"/>
        </w:sectPr>
      </w:pPr>
      <w:bookmarkStart w:id="78" w:name="_Hlk99462643"/>
      <w:bookmarkStart w:id="79" w:name="_Ref81915444"/>
      <w:bookmarkStart w:id="80" w:name="_Toc18917270"/>
      <w:bookmarkStart w:id="81" w:name="_Toc62631840"/>
      <w:bookmarkStart w:id="82" w:name="_Toc64504565"/>
      <w:bookmarkStart w:id="83" w:name="_Toc100230260"/>
      <w:bookmarkEnd w:id="78"/>
      <w:r w:rsidRPr="001477F8">
        <w:rPr>
          <w:rStyle w:val="longtext"/>
        </w:rPr>
        <w:t>Maksukoormus</w:t>
      </w:r>
      <w:r w:rsidR="001A196F">
        <w:rPr>
          <w:rStyle w:val="longtext"/>
        </w:rPr>
        <w:t xml:space="preserve"> ja efektiivne maksumäär</w:t>
      </w:r>
      <w:bookmarkEnd w:id="83"/>
    </w:p>
    <w:p w14:paraId="026F6D38" w14:textId="369027A1" w:rsidR="001A196F" w:rsidRPr="005822EA" w:rsidRDefault="001A196F" w:rsidP="001A196F">
      <w:pPr>
        <w:pStyle w:val="Alapunkt"/>
        <w:rPr>
          <w:b/>
          <w:szCs w:val="26"/>
        </w:rPr>
        <w:sectPr w:rsidR="001A196F" w:rsidRPr="005822EA" w:rsidSect="001A196F">
          <w:endnotePr>
            <w:numFmt w:val="decimal"/>
          </w:endnotePr>
          <w:type w:val="continuous"/>
          <w:pgSz w:w="11906" w:h="16838"/>
          <w:pgMar w:top="964" w:right="964" w:bottom="964" w:left="964" w:header="709" w:footer="709" w:gutter="0"/>
          <w:cols w:space="708"/>
          <w:docGrid w:linePitch="360"/>
        </w:sectPr>
      </w:pPr>
      <w:r>
        <w:t>Maksukoormus langeb alla 33% SKPst.</w:t>
      </w:r>
    </w:p>
    <w:p w14:paraId="5407F1D2" w14:textId="5F7F174F" w:rsidR="00C74FB5" w:rsidRPr="00AB4404" w:rsidRDefault="00A9204A" w:rsidP="00AB4404">
      <w:pPr>
        <w:pStyle w:val="Phitekst"/>
        <w:rPr>
          <w:rStyle w:val="Tugev"/>
          <w:b w:val="0"/>
        </w:rPr>
      </w:pPr>
      <w:r>
        <w:rPr>
          <w:rStyle w:val="Tugev"/>
        </w:rPr>
        <w:t>Eesti m</w:t>
      </w:r>
      <w:r w:rsidR="00C74FB5" w:rsidRPr="00AB4404">
        <w:rPr>
          <w:rStyle w:val="Tugev"/>
        </w:rPr>
        <w:t>aksukoormus on oluliselt madalam kui Euroopa Liidu keskmine</w:t>
      </w:r>
    </w:p>
    <w:p w14:paraId="4FD4DFA7" w14:textId="77777777" w:rsidR="00C74FB5" w:rsidRPr="00897627" w:rsidRDefault="00C74FB5" w:rsidP="00C74FB5">
      <w:pPr>
        <w:pStyle w:val="Phitekst"/>
      </w:pPr>
      <w:r w:rsidRPr="00897627">
        <w:t>Eesti üheks maksupoliitiliseks eesmärgiks on olnud maksude osalise ümberorienteerimise abil nihutada maksukoormus tulu maksustamiselt tarbimise, loodusvarade kasutamise ja keskkonna saastamise maksustamisele. Samas hoitakse süsteem stabiilse, lihtsa ja läbipaistvana, võimalikult väheste erandite ja erisustega.</w:t>
      </w:r>
    </w:p>
    <w:p w14:paraId="3494E5C2" w14:textId="588E1313" w:rsidR="00C74FB5" w:rsidRPr="00AB4404" w:rsidRDefault="00C74FB5" w:rsidP="00C74FB5">
      <w:pPr>
        <w:pStyle w:val="Phitekst"/>
      </w:pPr>
      <w:r w:rsidRPr="00897627">
        <w:t xml:space="preserve">Eesti </w:t>
      </w:r>
      <w:r w:rsidRPr="00AB4404">
        <w:t xml:space="preserve">maksukoormus oli 2020. aastal 34,0% SKPst, mis oli Euroopa Liidu keskmisest 6,2 protsendipunkti </w:t>
      </w:r>
      <w:r w:rsidR="00A9204A">
        <w:t xml:space="preserve">võrra </w:t>
      </w:r>
      <w:r w:rsidRPr="00AB4404">
        <w:t>madalam</w:t>
      </w:r>
      <w:r w:rsidR="00F50046" w:rsidRPr="00AB4404">
        <w:t>.</w:t>
      </w:r>
    </w:p>
    <w:p w14:paraId="4F3F0005" w14:textId="3ACE5E03" w:rsidR="00C74FB5" w:rsidRPr="00AB4404" w:rsidRDefault="00C74FB5" w:rsidP="00AB4404">
      <w:pPr>
        <w:pStyle w:val="Phitekst"/>
        <w:rPr>
          <w:rStyle w:val="Tugev"/>
        </w:rPr>
      </w:pPr>
      <w:r w:rsidRPr="00AB4404">
        <w:rPr>
          <w:rStyle w:val="Tugev"/>
        </w:rPr>
        <w:t xml:space="preserve">Pensionisüsteemi </w:t>
      </w:r>
      <w:bookmarkStart w:id="84" w:name="_Hlk81392644"/>
      <w:r w:rsidRPr="00AB4404">
        <w:rPr>
          <w:rStyle w:val="Tugev"/>
        </w:rPr>
        <w:t>teise</w:t>
      </w:r>
      <w:r w:rsidR="007D2D24">
        <w:rPr>
          <w:rStyle w:val="Tugev"/>
        </w:rPr>
        <w:t>st</w:t>
      </w:r>
      <w:r w:rsidRPr="00AB4404">
        <w:rPr>
          <w:rStyle w:val="Tugev"/>
        </w:rPr>
        <w:t xml:space="preserve"> samba</w:t>
      </w:r>
      <w:r w:rsidR="007D2D24">
        <w:rPr>
          <w:rStyle w:val="Tugev"/>
        </w:rPr>
        <w:t>st lahkujate</w:t>
      </w:r>
      <w:r w:rsidRPr="00AB4404">
        <w:rPr>
          <w:rStyle w:val="Tugev"/>
        </w:rPr>
        <w:t xml:space="preserve"> </w:t>
      </w:r>
      <w:r w:rsidR="007D2D24">
        <w:rPr>
          <w:rStyle w:val="Tugev"/>
        </w:rPr>
        <w:t>tulumaks</w:t>
      </w:r>
      <w:r w:rsidR="00B264B6">
        <w:rPr>
          <w:rStyle w:val="Tugev"/>
        </w:rPr>
        <w:t xml:space="preserve"> </w:t>
      </w:r>
      <w:r w:rsidRPr="00AB4404">
        <w:rPr>
          <w:rStyle w:val="Tugev"/>
        </w:rPr>
        <w:t xml:space="preserve">suurendas </w:t>
      </w:r>
      <w:r w:rsidR="005A1CDB">
        <w:rPr>
          <w:rStyle w:val="Tugev"/>
        </w:rPr>
        <w:t>ajutiselt</w:t>
      </w:r>
      <w:r w:rsidRPr="00AB4404">
        <w:rPr>
          <w:rStyle w:val="Tugev"/>
        </w:rPr>
        <w:t xml:space="preserve"> maksukoormust</w:t>
      </w:r>
      <w:bookmarkEnd w:id="84"/>
    </w:p>
    <w:p w14:paraId="3EF090AA" w14:textId="6375EADC" w:rsidR="00C74FB5" w:rsidRPr="00AB4404" w:rsidRDefault="00C74FB5" w:rsidP="00C74FB5">
      <w:pPr>
        <w:pStyle w:val="Phitekst"/>
      </w:pPr>
      <w:r w:rsidRPr="00AB4404">
        <w:t xml:space="preserve">2021. aasta maksukoormuseks </w:t>
      </w:r>
      <w:bookmarkStart w:id="85" w:name="_Hlk81392658"/>
      <w:r w:rsidRPr="00AB4404">
        <w:t xml:space="preserve">kujunes 34,4% </w:t>
      </w:r>
      <w:bookmarkEnd w:id="85"/>
      <w:r w:rsidRPr="00AB4404">
        <w:t xml:space="preserve">SKPst (vt </w:t>
      </w:r>
      <w:r w:rsidRPr="00AB4404">
        <w:fldChar w:fldCharType="begin"/>
      </w:r>
      <w:r w:rsidRPr="00AB4404">
        <w:instrText xml:space="preserve"> REF _Ref68016993 \h  \* MERGEFORMAT </w:instrText>
      </w:r>
      <w:r w:rsidRPr="00AB4404">
        <w:fldChar w:fldCharType="separate"/>
      </w:r>
      <w:r w:rsidR="00CF1260" w:rsidRPr="00142779">
        <w:t xml:space="preserve">Joonis </w:t>
      </w:r>
      <w:r w:rsidR="00CF1260">
        <w:t>3</w:t>
      </w:r>
      <w:r w:rsidRPr="00AB4404">
        <w:fldChar w:fldCharType="end"/>
      </w:r>
      <w:r w:rsidRPr="00AB4404">
        <w:t xml:space="preserve">), mis on riigieelarve prognoosist 0,3% võrra madalam. Pensionisüsteemi teise samba </w:t>
      </w:r>
      <w:r w:rsidR="005B7ED1">
        <w:t xml:space="preserve">väljamaksetelt laekunud </w:t>
      </w:r>
      <w:r w:rsidR="007D2D24">
        <w:t>tulumaks</w:t>
      </w:r>
      <w:r w:rsidRPr="00AB4404">
        <w:t xml:space="preserve"> suurendas maksukoormust 1,1% võrra</w:t>
      </w:r>
      <w:r w:rsidR="005B7ED1">
        <w:t xml:space="preserve"> SKPst</w:t>
      </w:r>
      <w:r w:rsidRPr="00AB4404">
        <w:t>.</w:t>
      </w:r>
    </w:p>
    <w:p w14:paraId="029DE38E" w14:textId="5ECFD0C9" w:rsidR="00C74FB5" w:rsidRPr="00AB4404" w:rsidRDefault="00C74FB5" w:rsidP="00AB4404">
      <w:pPr>
        <w:pStyle w:val="Phitekst"/>
        <w:rPr>
          <w:rStyle w:val="Tugev"/>
          <w:b w:val="0"/>
        </w:rPr>
      </w:pPr>
      <w:r w:rsidRPr="00AB4404">
        <w:rPr>
          <w:rStyle w:val="Tugev"/>
        </w:rPr>
        <w:t>Maksukoormus langeb alla 33% SKPst</w:t>
      </w:r>
    </w:p>
    <w:p w14:paraId="7E2F6492" w14:textId="40C37794" w:rsidR="00C74FB5" w:rsidRDefault="00C74FB5" w:rsidP="00C74FB5">
      <w:pPr>
        <w:pStyle w:val="Phitekst"/>
      </w:pPr>
      <w:r w:rsidRPr="00AB4404">
        <w:t>Maksukoormust</w:t>
      </w:r>
      <w:r w:rsidR="00A9204A">
        <w:t>,</w:t>
      </w:r>
      <w:r w:rsidRPr="00AB4404">
        <w:t xml:space="preserve"> võrreldes sügisese riigieelarve prognoosiga</w:t>
      </w:r>
      <w:r w:rsidR="00A9204A">
        <w:t>,</w:t>
      </w:r>
      <w:r w:rsidRPr="00AB4404">
        <w:t xml:space="preserve"> mõjutas </w:t>
      </w:r>
      <w:proofErr w:type="spellStart"/>
      <w:r w:rsidRPr="00AB4404">
        <w:t>Eurostati</w:t>
      </w:r>
      <w:proofErr w:type="spellEnd"/>
      <w:r w:rsidRPr="00AB4404">
        <w:t xml:space="preserve"> otsus kajastada II</w:t>
      </w:r>
      <w:r w:rsidR="00A9204A">
        <w:t> </w:t>
      </w:r>
      <w:r w:rsidRPr="00AB4404">
        <w:t>pensionisamba maksete peatamist (2020</w:t>
      </w:r>
      <w:r w:rsidR="00022BDA" w:rsidRPr="0049714C">
        <w:t>–</w:t>
      </w:r>
      <w:r w:rsidRPr="00AB4404">
        <w:t>2021) ja nende kompenseerimist (2021</w:t>
      </w:r>
      <w:r w:rsidR="00022BDA" w:rsidRPr="0049714C">
        <w:t>–</w:t>
      </w:r>
      <w:r w:rsidRPr="00AB4404">
        <w:t>2024) finantseerimistehinguna. Oluliselt vähendab maksukoormust vanaduspensioniealiste maksuvaba tulu keskmise pensioni ulatuses alates 2023. aastast.</w:t>
      </w:r>
    </w:p>
    <w:p w14:paraId="7B3238C3" w14:textId="0C3F1B09" w:rsidR="00C74FB5" w:rsidRDefault="00C74FB5" w:rsidP="00C74FB5">
      <w:pPr>
        <w:pStyle w:val="Phitekst"/>
      </w:pPr>
      <w:r w:rsidRPr="00AB4404">
        <w:t>Maksude laekumine kasvab perioodil 2022</w:t>
      </w:r>
      <w:r w:rsidR="00022BDA" w:rsidRPr="0049714C">
        <w:t>–</w:t>
      </w:r>
      <w:r w:rsidRPr="00AB4404">
        <w:t>2026 keskmiselt 4,1%, samas SKP kasvab keskmiselt 5,0% aastas. Seetõttu on maksukoormus langeva trendiga</w:t>
      </w:r>
      <w:r w:rsidR="00A9204A">
        <w:t>,</w:t>
      </w:r>
      <w:r w:rsidRPr="00AB4404">
        <w:t xml:space="preserve"> jõudes 2026. aastaks 32,8%ni SKPst. </w:t>
      </w:r>
    </w:p>
    <w:p w14:paraId="28AF8EE8" w14:textId="14045640" w:rsidR="00AB4404" w:rsidRPr="006629B8" w:rsidRDefault="00AB4404" w:rsidP="00AB4404">
      <w:pPr>
        <w:pStyle w:val="Pealdis"/>
      </w:pPr>
      <w:bookmarkStart w:id="86" w:name="_Ref68016993"/>
      <w:bookmarkStart w:id="87" w:name="_Toc68514378"/>
      <w:bookmarkStart w:id="88" w:name="_Toc100230272"/>
      <w:r w:rsidRPr="00142779">
        <w:t xml:space="preserve">Joonis </w:t>
      </w:r>
      <w:fldSimple w:instr=" SEQ Joonis \* ARABIC ">
        <w:r w:rsidR="00486B68">
          <w:rPr>
            <w:noProof/>
          </w:rPr>
          <w:t>3</w:t>
        </w:r>
      </w:fldSimple>
      <w:bookmarkEnd w:id="86"/>
      <w:r w:rsidRPr="00142779">
        <w:t>. Maksukoormus koos ja ilma teise</w:t>
      </w:r>
      <w:r w:rsidR="007D2D24">
        <w:t>st</w:t>
      </w:r>
      <w:r w:rsidRPr="00142779">
        <w:t xml:space="preserve"> pensionisamba</w:t>
      </w:r>
      <w:r w:rsidR="007D2D24">
        <w:t>st lahkujate tulumaksuta</w:t>
      </w:r>
      <w:r w:rsidRPr="00142779">
        <w:t xml:space="preserve"> (%)</w:t>
      </w:r>
      <w:bookmarkEnd w:id="87"/>
      <w:bookmarkEnd w:id="88"/>
    </w:p>
    <w:p w14:paraId="720A31DF" w14:textId="77777777" w:rsidR="00AB4404" w:rsidRPr="00186FB2" w:rsidRDefault="00AB4404" w:rsidP="00AB4404">
      <w:pPr>
        <w:pStyle w:val="Phitekst"/>
        <w:rPr>
          <w:rFonts w:cstheme="minorHAnsi"/>
          <w:highlight w:val="yellow"/>
        </w:rPr>
      </w:pPr>
      <w:r>
        <w:rPr>
          <w:noProof/>
          <w:lang w:eastAsia="et-EE"/>
        </w:rPr>
        <w:drawing>
          <wp:inline distT="0" distB="0" distL="0" distR="0" wp14:anchorId="0C281ED1" wp14:editId="3D5CB35D">
            <wp:extent cx="2931936" cy="1962714"/>
            <wp:effectExtent l="0" t="0" r="0" b="0"/>
            <wp:docPr id="8" name="Diagramm 8">
              <a:extLst xmlns:a="http://schemas.openxmlformats.org/drawingml/2006/main">
                <a:ext uri="{FF2B5EF4-FFF2-40B4-BE49-F238E27FC236}">
                  <a16:creationId xmlns:a16="http://schemas.microsoft.com/office/drawing/2014/main" id="{00000000-0008-0000-0100-00004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38E23F0" w14:textId="2F6CECF2" w:rsidR="00C74FB5" w:rsidRDefault="00C74FB5" w:rsidP="00C74FB5">
      <w:pPr>
        <w:pStyle w:val="Phitekst"/>
      </w:pPr>
      <w:bookmarkStart w:id="89" w:name="_Hlk99730587"/>
      <w:r w:rsidRPr="009857BC">
        <w:t>Maksukoormust mõjutava</w:t>
      </w:r>
      <w:r w:rsidR="00154EE4">
        <w:t xml:space="preserve">d </w:t>
      </w:r>
      <w:r w:rsidRPr="009857BC">
        <w:t>maksumuudatus</w:t>
      </w:r>
      <w:r w:rsidR="00154EE4">
        <w:t>ed</w:t>
      </w:r>
      <w:r w:rsidRPr="009857BC">
        <w:t xml:space="preserve"> on </w:t>
      </w:r>
      <w:r w:rsidR="00154EE4">
        <w:t>toodud lisas (</w:t>
      </w:r>
      <w:r w:rsidR="00154EE4" w:rsidRPr="00701E3E">
        <w:fldChar w:fldCharType="begin"/>
      </w:r>
      <w:r w:rsidR="00154EE4" w:rsidRPr="00701E3E">
        <w:instrText xml:space="preserve"> REF _Ref511397834 \h </w:instrText>
      </w:r>
      <w:r w:rsidR="00701E3E">
        <w:instrText xml:space="preserve"> \* MERGEFORMAT </w:instrText>
      </w:r>
      <w:r w:rsidR="00154EE4" w:rsidRPr="00701E3E">
        <w:fldChar w:fldCharType="separate"/>
      </w:r>
      <w:r w:rsidR="00A9204A" w:rsidRPr="00EF2257">
        <w:t xml:space="preserve">Tabel </w:t>
      </w:r>
      <w:r w:rsidR="00A9204A">
        <w:t>14</w:t>
      </w:r>
      <w:r w:rsidR="00154EE4" w:rsidRPr="00701E3E">
        <w:fldChar w:fldCharType="end"/>
      </w:r>
      <w:r w:rsidR="00154EE4">
        <w:t>, Lisa 4).</w:t>
      </w:r>
    </w:p>
    <w:bookmarkEnd w:id="89"/>
    <w:p w14:paraId="0997B58A" w14:textId="0FB41220" w:rsidR="00C74FB5" w:rsidRPr="00AB4404" w:rsidRDefault="00C74FB5" w:rsidP="00C74FB5">
      <w:pPr>
        <w:pStyle w:val="Phitekst"/>
      </w:pPr>
      <w:r w:rsidRPr="00762427">
        <w:t xml:space="preserve">Lisaks </w:t>
      </w:r>
      <w:r w:rsidRPr="00AB4404">
        <w:t xml:space="preserve">maksutulude osakaalule SKPst iseloomustab maksukoormuse suurust </w:t>
      </w:r>
      <w:r w:rsidRPr="00AB4404">
        <w:rPr>
          <w:b/>
        </w:rPr>
        <w:t>efektiivne</w:t>
      </w:r>
      <w:r w:rsidRPr="00AB4404">
        <w:rPr>
          <w:b/>
          <w:vertAlign w:val="superscript"/>
        </w:rPr>
        <w:endnoteReference w:id="3"/>
      </w:r>
      <w:r w:rsidRPr="00AB4404">
        <w:rPr>
          <w:b/>
        </w:rPr>
        <w:t xml:space="preserve"> maksu</w:t>
      </w:r>
      <w:r w:rsidRPr="00AB4404">
        <w:rPr>
          <w:b/>
        </w:rPr>
        <w:softHyphen/>
        <w:t>määr</w:t>
      </w:r>
      <w:r w:rsidRPr="00AB4404">
        <w:t xml:space="preserve"> (</w:t>
      </w:r>
      <w:proofErr w:type="spellStart"/>
      <w:r w:rsidRPr="00D13BA0">
        <w:rPr>
          <w:i/>
          <w:iCs/>
        </w:rPr>
        <w:t>implicit</w:t>
      </w:r>
      <w:proofErr w:type="spellEnd"/>
      <w:r w:rsidRPr="00D13BA0">
        <w:rPr>
          <w:i/>
          <w:iCs/>
        </w:rPr>
        <w:t xml:space="preserve"> </w:t>
      </w:r>
      <w:proofErr w:type="spellStart"/>
      <w:r w:rsidRPr="00D13BA0">
        <w:rPr>
          <w:i/>
          <w:iCs/>
        </w:rPr>
        <w:t>tax</w:t>
      </w:r>
      <w:proofErr w:type="spellEnd"/>
      <w:r w:rsidRPr="00D13BA0">
        <w:rPr>
          <w:i/>
          <w:iCs/>
        </w:rPr>
        <w:t xml:space="preserve"> </w:t>
      </w:r>
      <w:proofErr w:type="spellStart"/>
      <w:r w:rsidRPr="00D13BA0">
        <w:rPr>
          <w:i/>
          <w:iCs/>
        </w:rPr>
        <w:t>rate</w:t>
      </w:r>
      <w:proofErr w:type="spellEnd"/>
      <w:r w:rsidRPr="00AB4404">
        <w:t>, ITR), mis on laekunud maksutulu suhe maksubaasi.</w:t>
      </w:r>
    </w:p>
    <w:p w14:paraId="7FAA7DDB" w14:textId="74A63B78" w:rsidR="00C74FB5" w:rsidRDefault="00C74FB5" w:rsidP="00DE4952">
      <w:pPr>
        <w:pStyle w:val="Phitekst"/>
      </w:pPr>
      <w:r w:rsidRPr="00AB4404">
        <w:rPr>
          <w:b/>
          <w:bCs/>
        </w:rPr>
        <w:t xml:space="preserve">Tööjõu efektiivne maksumäär </w:t>
      </w:r>
      <w:bookmarkStart w:id="90" w:name="_Hlk50033722"/>
      <w:r w:rsidRPr="00AB4404">
        <w:rPr>
          <w:b/>
          <w:bCs/>
        </w:rPr>
        <w:t>ulatus 2020. aastal Eestis 32,0%ni</w:t>
      </w:r>
      <w:r w:rsidRPr="00AB4404">
        <w:t xml:space="preserve"> </w:t>
      </w:r>
      <w:r w:rsidRPr="00DE4952">
        <w:t xml:space="preserve">(vt </w:t>
      </w:r>
      <w:r w:rsidRPr="00AB4404">
        <w:fldChar w:fldCharType="begin"/>
      </w:r>
      <w:r w:rsidRPr="00AB4404">
        <w:instrText xml:space="preserve"> REF _Ref68393020 \h  \* MERGEFORMAT </w:instrText>
      </w:r>
      <w:r w:rsidRPr="00AB4404">
        <w:fldChar w:fldCharType="separate"/>
      </w:r>
      <w:r w:rsidR="00A9204A" w:rsidRPr="00A9204A">
        <w:t>Joonis 4</w:t>
      </w:r>
      <w:r w:rsidRPr="00AB4404">
        <w:fldChar w:fldCharType="end"/>
      </w:r>
      <w:r w:rsidRPr="00DE4952">
        <w:t>)</w:t>
      </w:r>
      <w:r w:rsidRPr="00AB4404">
        <w:t>,</w:t>
      </w:r>
      <w:r w:rsidRPr="00DE4952">
        <w:t xml:space="preserve"> mis oli </w:t>
      </w:r>
      <w:r w:rsidR="00D47B9A">
        <w:t>ELis</w:t>
      </w:r>
      <w:r w:rsidRPr="00DE4952">
        <w:t xml:space="preserve"> 18. kohal. Näitaja leitakse tööjõu</w:t>
      </w:r>
      <w:r w:rsidRPr="00DE4952">
        <w:softHyphen/>
        <w:t xml:space="preserve">maksude suhtena tööjõukuludesse. </w:t>
      </w:r>
      <w:bookmarkEnd w:id="90"/>
      <w:r w:rsidRPr="00DE4952">
        <w:t>Kiire kasv aastatel 2021</w:t>
      </w:r>
      <w:r w:rsidR="00022BDA" w:rsidRPr="0049714C">
        <w:t>–</w:t>
      </w:r>
      <w:r w:rsidRPr="00DE4952">
        <w:t>2022 tuleneb palgakasvust ja maksuvaba tulu paigal püsimisest</w:t>
      </w:r>
      <w:r w:rsidR="001F180C">
        <w:t>, mis viis inimes</w:t>
      </w:r>
      <w:r w:rsidR="00F600D4">
        <w:t xml:space="preserve">te sissetulekud </w:t>
      </w:r>
      <w:r w:rsidR="001F180C">
        <w:t>maksuvaba tulu piirkonnast välja</w:t>
      </w:r>
      <w:r w:rsidRPr="00DE4952">
        <w:t xml:space="preserve">. Pensioni </w:t>
      </w:r>
      <w:r w:rsidRPr="00DE4952">
        <w:lastRenderedPageBreak/>
        <w:t>II</w:t>
      </w:r>
      <w:r w:rsidR="00F600D4">
        <w:t> </w:t>
      </w:r>
      <w:r w:rsidRPr="00DE4952">
        <w:t>sambast lahkujate tulu loetakse kapitalituluks ega mõjuta antud näitajat. Tööjõu efektiivne maksumäär stabiliseerub alates 2023. aastast, mil kehtestatakse vanaduspensioniealiste maksuvaba tulu, 34% taseme lähedal.</w:t>
      </w:r>
    </w:p>
    <w:p w14:paraId="13DE9382" w14:textId="6A190B38" w:rsidR="00AB4404" w:rsidRPr="00AB4404" w:rsidRDefault="00AB4404" w:rsidP="00AB4404">
      <w:pPr>
        <w:pStyle w:val="Phitekst"/>
      </w:pPr>
      <w:r w:rsidRPr="00AB4404">
        <w:rPr>
          <w:b/>
          <w:bCs/>
        </w:rPr>
        <w:t>Tarbimise efektiivne maksumäär oli 2020. aastal 22,8%,</w:t>
      </w:r>
      <w:r w:rsidRPr="00DE4952">
        <w:t xml:space="preserve"> </w:t>
      </w:r>
      <w:r w:rsidR="00F600D4">
        <w:t xml:space="preserve">millega </w:t>
      </w:r>
      <w:r>
        <w:t>Eesti</w:t>
      </w:r>
      <w:r w:rsidRPr="00DE4952">
        <w:t xml:space="preserve"> oli Ungari, Taani ja Horvaatia järel neljandal kohal</w:t>
      </w:r>
      <w:r>
        <w:t xml:space="preserve"> ELis</w:t>
      </w:r>
      <w:r w:rsidRPr="00DE4952">
        <w:t xml:space="preserve">. </w:t>
      </w:r>
      <w:bookmarkStart w:id="91" w:name="_Hlk68018919"/>
      <w:r w:rsidRPr="00DE4952">
        <w:t>See tuleneb osaliselt vähestest käibemaksu eranditest. Aastaks 202</w:t>
      </w:r>
      <w:r>
        <w:t>4</w:t>
      </w:r>
      <w:r w:rsidRPr="00DE4952">
        <w:t xml:space="preserve"> tõstavad käibemaksu</w:t>
      </w:r>
      <w:r w:rsidR="00F600D4">
        <w:t xml:space="preserve"> laekumise</w:t>
      </w:r>
      <w:r w:rsidRPr="00DE4952">
        <w:t xml:space="preserve"> </w:t>
      </w:r>
      <w:r w:rsidR="00F600D4">
        <w:t xml:space="preserve">kiire </w:t>
      </w:r>
      <w:r w:rsidRPr="00DE4952">
        <w:t xml:space="preserve">kasv </w:t>
      </w:r>
      <w:r w:rsidR="00F600D4">
        <w:t xml:space="preserve">ning </w:t>
      </w:r>
      <w:r w:rsidRPr="00DE4952">
        <w:t xml:space="preserve">saastekvootide müügitulu </w:t>
      </w:r>
      <w:bookmarkEnd w:id="91"/>
      <w:r w:rsidRPr="00DE4952">
        <w:t>suurenemine näitaja 24,</w:t>
      </w:r>
      <w:r>
        <w:t>4</w:t>
      </w:r>
      <w:r w:rsidRPr="00DE4952">
        <w:t xml:space="preserve">%le, </w:t>
      </w:r>
      <w:r w:rsidR="00F600D4">
        <w:t xml:space="preserve">kuid </w:t>
      </w:r>
      <w:r w:rsidRPr="00DE4952">
        <w:t xml:space="preserve">prognoosiperioodi lõpuks langeb </w:t>
      </w:r>
      <w:r w:rsidR="00F600D4">
        <w:t xml:space="preserve">tarbimise efektiivne maksumäär </w:t>
      </w:r>
      <w:r w:rsidRPr="00DE4952">
        <w:t>23,2%ni.</w:t>
      </w:r>
    </w:p>
    <w:p w14:paraId="49DE3ED7" w14:textId="52988E7F" w:rsidR="00C74FB5" w:rsidRPr="00056488" w:rsidRDefault="00C74FB5" w:rsidP="00C74FB5">
      <w:pPr>
        <w:pStyle w:val="Pealdis"/>
        <w:spacing w:after="0"/>
        <w:rPr>
          <w:rFonts w:cstheme="minorHAnsi"/>
          <w:i/>
          <w:sz w:val="22"/>
          <w:szCs w:val="22"/>
        </w:rPr>
      </w:pPr>
      <w:bookmarkStart w:id="92" w:name="_Ref68393020"/>
      <w:bookmarkStart w:id="93" w:name="_Toc68514379"/>
      <w:bookmarkStart w:id="94" w:name="_Toc100230273"/>
      <w:r w:rsidRPr="00142779">
        <w:rPr>
          <w:rFonts w:cstheme="minorHAnsi"/>
          <w:sz w:val="22"/>
          <w:szCs w:val="22"/>
        </w:rPr>
        <w:t xml:space="preserve">Joonis </w:t>
      </w:r>
      <w:r w:rsidR="00505CFC">
        <w:rPr>
          <w:rFonts w:cstheme="minorHAnsi"/>
          <w:sz w:val="22"/>
          <w:szCs w:val="22"/>
        </w:rPr>
        <w:fldChar w:fldCharType="begin"/>
      </w:r>
      <w:r w:rsidR="00505CFC">
        <w:rPr>
          <w:rFonts w:cstheme="minorHAnsi"/>
          <w:sz w:val="22"/>
          <w:szCs w:val="22"/>
        </w:rPr>
        <w:instrText xml:space="preserve"> SEQ Joonis \* ARABIC </w:instrText>
      </w:r>
      <w:r w:rsidR="00505CFC">
        <w:rPr>
          <w:rFonts w:cstheme="minorHAnsi"/>
          <w:sz w:val="22"/>
          <w:szCs w:val="22"/>
        </w:rPr>
        <w:fldChar w:fldCharType="separate"/>
      </w:r>
      <w:r w:rsidR="00486B68">
        <w:rPr>
          <w:rFonts w:cstheme="minorHAnsi"/>
          <w:noProof/>
          <w:sz w:val="22"/>
          <w:szCs w:val="22"/>
        </w:rPr>
        <w:t>4</w:t>
      </w:r>
      <w:r w:rsidR="00505CFC">
        <w:rPr>
          <w:rFonts w:cstheme="minorHAnsi"/>
          <w:sz w:val="22"/>
          <w:szCs w:val="22"/>
        </w:rPr>
        <w:fldChar w:fldCharType="end"/>
      </w:r>
      <w:bookmarkEnd w:id="92"/>
      <w:r w:rsidRPr="00142779">
        <w:rPr>
          <w:rFonts w:cstheme="minorHAnsi"/>
          <w:sz w:val="22"/>
          <w:szCs w:val="22"/>
        </w:rPr>
        <w:t>. Tööjõu efektiivne maksumäär (% maksubaasist)</w:t>
      </w:r>
      <w:bookmarkEnd w:id="93"/>
      <w:bookmarkEnd w:id="94"/>
    </w:p>
    <w:p w14:paraId="6E1D8AFB" w14:textId="77777777" w:rsidR="00C74FB5" w:rsidRDefault="00C74FB5" w:rsidP="00C74FB5">
      <w:pPr>
        <w:pStyle w:val="Phitekst"/>
        <w:rPr>
          <w:rStyle w:val="RhutusChar"/>
          <w:rFonts w:cstheme="minorHAnsi"/>
        </w:rPr>
      </w:pPr>
      <w:r>
        <w:rPr>
          <w:noProof/>
          <w:lang w:eastAsia="et-EE"/>
        </w:rPr>
        <w:drawing>
          <wp:inline distT="0" distB="0" distL="0" distR="0" wp14:anchorId="474ADB53" wp14:editId="2C03392D">
            <wp:extent cx="2655570" cy="1601363"/>
            <wp:effectExtent l="0" t="0" r="0" b="0"/>
            <wp:docPr id="9" name="Diagramm 9">
              <a:extLst xmlns:a="http://schemas.openxmlformats.org/drawingml/2006/main">
                <a:ext uri="{FF2B5EF4-FFF2-40B4-BE49-F238E27FC236}">
                  <a16:creationId xmlns:a16="http://schemas.microsoft.com/office/drawing/2014/main" id="{00000000-0008-0000-01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A353138" w14:textId="77777777" w:rsidR="00C74FB5" w:rsidRDefault="00C74FB5" w:rsidP="00C74FB5">
      <w:pPr>
        <w:sectPr w:rsidR="00C74FB5" w:rsidSect="00C74FB5">
          <w:endnotePr>
            <w:numFmt w:val="decimal"/>
          </w:endnotePr>
          <w:type w:val="continuous"/>
          <w:pgSz w:w="11906" w:h="16838"/>
          <w:pgMar w:top="964" w:right="964" w:bottom="964" w:left="964" w:header="709" w:footer="709" w:gutter="0"/>
          <w:cols w:num="2" w:space="708"/>
          <w:docGrid w:linePitch="360"/>
        </w:sectPr>
      </w:pPr>
    </w:p>
    <w:bookmarkEnd w:id="77"/>
    <w:p w14:paraId="5E3E645E" w14:textId="77777777" w:rsidR="00D540F8" w:rsidRDefault="00D540F8" w:rsidP="00C74FB5">
      <w:pPr>
        <w:sectPr w:rsidR="00D540F8" w:rsidSect="0032671F">
          <w:endnotePr>
            <w:numFmt w:val="decimal"/>
          </w:endnotePr>
          <w:type w:val="continuous"/>
          <w:pgSz w:w="11906" w:h="16838"/>
          <w:pgMar w:top="964" w:right="964" w:bottom="964" w:left="964" w:header="709" w:footer="709" w:gutter="0"/>
          <w:cols w:space="708"/>
          <w:docGrid w:linePitch="360"/>
        </w:sectPr>
      </w:pPr>
    </w:p>
    <w:p w14:paraId="74DEC552" w14:textId="77777777" w:rsidR="00D540F8" w:rsidRPr="00D540F8" w:rsidRDefault="00D540F8" w:rsidP="00F418A6">
      <w:pPr>
        <w:pStyle w:val="Pealkiri3"/>
        <w:jc w:val="both"/>
        <w:rPr>
          <w:rStyle w:val="longtext"/>
        </w:rPr>
      </w:pPr>
      <w:bookmarkStart w:id="95" w:name="_Toc18917268"/>
      <w:bookmarkStart w:id="96" w:name="_Toc62631838"/>
      <w:bookmarkStart w:id="97" w:name="_Toc64504563"/>
      <w:bookmarkStart w:id="98" w:name="_Toc68514336"/>
      <w:bookmarkStart w:id="99" w:name="_Toc100230261"/>
      <w:r w:rsidRPr="00D540F8">
        <w:rPr>
          <w:rStyle w:val="longtext"/>
        </w:rPr>
        <w:t>Riigieelarve mittemaksuliste tulude prognoos</w:t>
      </w:r>
      <w:bookmarkEnd w:id="95"/>
      <w:bookmarkEnd w:id="96"/>
      <w:bookmarkEnd w:id="97"/>
      <w:bookmarkEnd w:id="98"/>
      <w:bookmarkEnd w:id="99"/>
    </w:p>
    <w:p w14:paraId="2144D274" w14:textId="77777777" w:rsidR="00D540F8" w:rsidRPr="00D540F8" w:rsidRDefault="00D540F8" w:rsidP="00D540F8">
      <w:pPr>
        <w:pStyle w:val="Pealkiri3"/>
        <w:jc w:val="both"/>
        <w:rPr>
          <w:rStyle w:val="longtext"/>
        </w:rPr>
        <w:sectPr w:rsidR="00D540F8" w:rsidRPr="00D540F8" w:rsidSect="00D540F8">
          <w:endnotePr>
            <w:numFmt w:val="decimal"/>
          </w:endnotePr>
          <w:type w:val="continuous"/>
          <w:pgSz w:w="11906" w:h="16838"/>
          <w:pgMar w:top="964" w:right="964" w:bottom="964" w:left="964" w:header="709" w:footer="709" w:gutter="0"/>
          <w:cols w:space="708"/>
          <w:docGrid w:linePitch="360"/>
        </w:sectPr>
      </w:pPr>
    </w:p>
    <w:p w14:paraId="684A62C3" w14:textId="77777777" w:rsidR="00D540F8" w:rsidRPr="00695D62" w:rsidRDefault="00D540F8" w:rsidP="00D540F8">
      <w:pPr>
        <w:pStyle w:val="Alapunkt"/>
        <w:jc w:val="both"/>
        <w:rPr>
          <w:bCs/>
        </w:rPr>
      </w:pPr>
      <w:bookmarkStart w:id="100" w:name="_Toc5216771"/>
      <w:bookmarkStart w:id="101" w:name="_Toc5216822"/>
      <w:bookmarkStart w:id="102" w:name="_Toc5282046"/>
      <w:bookmarkStart w:id="103" w:name="_Toc62631839"/>
      <w:bookmarkStart w:id="104" w:name="_Toc64504564"/>
      <w:bookmarkStart w:id="105" w:name="_Toc64844897"/>
      <w:r w:rsidRPr="00695D62">
        <w:t>Tulude mahtu suurendavad sel aastal CO</w:t>
      </w:r>
      <w:r w:rsidRPr="00BA3260">
        <w:rPr>
          <w:vertAlign w:val="subscript"/>
        </w:rPr>
        <w:t>2</w:t>
      </w:r>
      <w:r w:rsidRPr="00695D62">
        <w:t xml:space="preserve"> kvootide müügitulu, välistoetused ning dividenditulu.</w:t>
      </w:r>
      <w:bookmarkEnd w:id="100"/>
      <w:bookmarkEnd w:id="101"/>
      <w:bookmarkEnd w:id="102"/>
      <w:bookmarkEnd w:id="103"/>
      <w:bookmarkEnd w:id="104"/>
      <w:bookmarkEnd w:id="105"/>
    </w:p>
    <w:p w14:paraId="08BBBCA4" w14:textId="77777777" w:rsidR="00D540F8" w:rsidRPr="00695D62" w:rsidRDefault="00D540F8" w:rsidP="00D540F8">
      <w:pPr>
        <w:pStyle w:val="Alapunkt"/>
        <w:jc w:val="both"/>
        <w:rPr>
          <w:b/>
          <w:bCs/>
        </w:rPr>
        <w:sectPr w:rsidR="00D540F8" w:rsidRPr="00695D62" w:rsidSect="0093189D">
          <w:endnotePr>
            <w:numFmt w:val="decimal"/>
          </w:endnotePr>
          <w:type w:val="continuous"/>
          <w:pgSz w:w="11906" w:h="16838"/>
          <w:pgMar w:top="964" w:right="964" w:bottom="964" w:left="964" w:header="709" w:footer="709" w:gutter="0"/>
          <w:cols w:space="708"/>
          <w:docGrid w:linePitch="360"/>
        </w:sectPr>
      </w:pPr>
    </w:p>
    <w:p w14:paraId="2540A557" w14:textId="0D468199" w:rsidR="00D540F8" w:rsidRPr="00695D62" w:rsidRDefault="00D540F8" w:rsidP="00D540F8">
      <w:pPr>
        <w:pStyle w:val="Phitekst"/>
      </w:pPr>
      <w:r w:rsidRPr="00695D62">
        <w:t>Mittemaksuliste tulude 2022. aasta laekumise prognoosi suurendati võrreldes eelarves oodatuga 2</w:t>
      </w:r>
      <w:r>
        <w:t>4</w:t>
      </w:r>
      <w:r w:rsidRPr="00695D62">
        <w:t xml:space="preserve"> mln euro võrra 2 0</w:t>
      </w:r>
      <w:r>
        <w:t>49</w:t>
      </w:r>
      <w:r w:rsidRPr="00695D62">
        <w:t> mln eurole CO</w:t>
      </w:r>
      <w:r w:rsidRPr="00BA3260">
        <w:rPr>
          <w:vertAlign w:val="subscript"/>
        </w:rPr>
        <w:t>2</w:t>
      </w:r>
      <w:r w:rsidRPr="00695D62">
        <w:t xml:space="preserve"> kvootide müügitulu ning dividenditulu kasvu tõttu</w:t>
      </w:r>
      <w:r w:rsidR="00937A9D">
        <w:t xml:space="preserve"> (</w:t>
      </w:r>
      <w:r w:rsidR="00937A9D">
        <w:fldChar w:fldCharType="begin"/>
      </w:r>
      <w:r w:rsidR="00937A9D">
        <w:instrText xml:space="preserve"> REF _Ref100013210 \h </w:instrText>
      </w:r>
      <w:r w:rsidR="00D13BA0">
        <w:instrText xml:space="preserve"> \* MERGEFORMAT </w:instrText>
      </w:r>
      <w:r w:rsidR="00937A9D">
        <w:fldChar w:fldCharType="separate"/>
      </w:r>
      <w:r w:rsidR="002F2507" w:rsidRPr="008A6478">
        <w:t xml:space="preserve">Tabel </w:t>
      </w:r>
      <w:r w:rsidR="002F2507">
        <w:t>3</w:t>
      </w:r>
      <w:r w:rsidR="00937A9D">
        <w:fldChar w:fldCharType="end"/>
      </w:r>
      <w:r w:rsidR="00937A9D">
        <w:t>)</w:t>
      </w:r>
      <w:r w:rsidRPr="00695D62">
        <w:t>. Võrreldes 2021. aastaga suureneb laekumine samas 3</w:t>
      </w:r>
      <w:r>
        <w:t>4,2</w:t>
      </w:r>
      <w:r w:rsidRPr="00695D62">
        <w:t xml:space="preserve">%, tulenedes peamiselt toetustest, aga </w:t>
      </w:r>
      <w:r w:rsidRPr="00695D62">
        <w:t xml:space="preserve">suurenevad ka muud </w:t>
      </w:r>
      <w:r w:rsidRPr="006E11B3">
        <w:t>tulud peale keskkonnatasude ja vara müügitulude. Toetuste maht kasvab aastani 2023, seda toetab nii uue perioodi rahade kasutamine, sh Rail Baltic, kui ka taaskäivituspakett. Kokkuvõttes ulatub mitte</w:t>
      </w:r>
      <w:r w:rsidRPr="006E11B3">
        <w:softHyphen/>
        <w:t>maksuliste tulude maht 2023. aasta</w:t>
      </w:r>
      <w:r w:rsidR="00F600D4">
        <w:t>l</w:t>
      </w:r>
      <w:r w:rsidRPr="006E11B3">
        <w:t xml:space="preserve"> 2,32 mld euroni.</w:t>
      </w:r>
    </w:p>
    <w:p w14:paraId="3C13B234" w14:textId="77777777" w:rsidR="00D540F8" w:rsidRPr="00E56B38" w:rsidRDefault="00D540F8" w:rsidP="00D540F8">
      <w:pPr>
        <w:jc w:val="both"/>
        <w:rPr>
          <w:rFonts w:ascii="Segoe UI" w:eastAsiaTheme="majorEastAsia" w:hAnsi="Segoe UI"/>
          <w:sz w:val="20"/>
          <w:highlight w:val="yellow"/>
        </w:rPr>
        <w:sectPr w:rsidR="00D540F8" w:rsidRPr="00E56B38" w:rsidSect="0093189D">
          <w:endnotePr>
            <w:numFmt w:val="decimal"/>
          </w:endnotePr>
          <w:type w:val="continuous"/>
          <w:pgSz w:w="11906" w:h="16838"/>
          <w:pgMar w:top="964" w:right="964" w:bottom="964" w:left="964" w:header="709" w:footer="709" w:gutter="0"/>
          <w:cols w:num="2" w:space="708"/>
          <w:docGrid w:linePitch="360"/>
        </w:sectPr>
      </w:pPr>
    </w:p>
    <w:p w14:paraId="5AA84630" w14:textId="77777777" w:rsidR="00D540F8" w:rsidRPr="00E56B38" w:rsidRDefault="00D540F8" w:rsidP="00D540F8">
      <w:pPr>
        <w:jc w:val="both"/>
        <w:rPr>
          <w:rFonts w:ascii="Segoe UI" w:hAnsi="Segoe UI" w:cs="Segoe UI"/>
          <w:bCs/>
          <w:sz w:val="20"/>
          <w:highlight w:val="yellow"/>
        </w:rPr>
        <w:sectPr w:rsidR="00D540F8" w:rsidRPr="00E56B38" w:rsidSect="0093189D">
          <w:endnotePr>
            <w:numFmt w:val="decimal"/>
          </w:endnotePr>
          <w:type w:val="continuous"/>
          <w:pgSz w:w="11906" w:h="16838"/>
          <w:pgMar w:top="964" w:right="964" w:bottom="964" w:left="964" w:header="709" w:footer="709" w:gutter="0"/>
          <w:cols w:num="2" w:space="708"/>
          <w:docGrid w:linePitch="360"/>
        </w:sectPr>
      </w:pPr>
    </w:p>
    <w:p w14:paraId="04997C5A" w14:textId="4011700C" w:rsidR="00D540F8" w:rsidRPr="008A6478" w:rsidRDefault="00D540F8" w:rsidP="00D540F8">
      <w:pPr>
        <w:pStyle w:val="Pealdis"/>
        <w:jc w:val="both"/>
      </w:pPr>
      <w:bookmarkStart w:id="106" w:name="_Ref100013210"/>
      <w:bookmarkStart w:id="107" w:name="_Toc4502658"/>
      <w:bookmarkStart w:id="108" w:name="_Toc68514417"/>
      <w:bookmarkStart w:id="109" w:name="_Toc100230288"/>
      <w:r w:rsidRPr="008A6478">
        <w:t xml:space="preserve">Tabel </w:t>
      </w:r>
      <w:r w:rsidRPr="008A6478">
        <w:rPr>
          <w:noProof/>
        </w:rPr>
        <w:fldChar w:fldCharType="begin"/>
      </w:r>
      <w:r w:rsidRPr="008A6478">
        <w:rPr>
          <w:noProof/>
        </w:rPr>
        <w:instrText xml:space="preserve"> SEQ Tabel \* ARABIC </w:instrText>
      </w:r>
      <w:r w:rsidRPr="008A6478">
        <w:rPr>
          <w:noProof/>
        </w:rPr>
        <w:fldChar w:fldCharType="separate"/>
      </w:r>
      <w:r w:rsidR="006014DB">
        <w:rPr>
          <w:noProof/>
        </w:rPr>
        <w:t>3</w:t>
      </w:r>
      <w:r w:rsidRPr="008A6478">
        <w:rPr>
          <w:noProof/>
        </w:rPr>
        <w:fldChar w:fldCharType="end"/>
      </w:r>
      <w:bookmarkEnd w:id="106"/>
      <w:r w:rsidRPr="008A6478">
        <w:t xml:space="preserve">. </w:t>
      </w:r>
      <w:bookmarkEnd w:id="107"/>
      <w:r w:rsidRPr="008A6478">
        <w:t>Mittemaksuliste tulude 2022. aasta kevadise prognoosi muutus võrreldes 2022. aasta eelarve prognoosiga (mln eurot)</w:t>
      </w:r>
      <w:bookmarkEnd w:id="108"/>
      <w:bookmarkEnd w:id="109"/>
    </w:p>
    <w:tbl>
      <w:tblPr>
        <w:tblStyle w:val="Peentabel1"/>
        <w:tblW w:w="5000" w:type="pct"/>
        <w:tblLook w:val="04A0" w:firstRow="1" w:lastRow="0" w:firstColumn="1" w:lastColumn="0" w:noHBand="0" w:noVBand="1"/>
      </w:tblPr>
      <w:tblGrid>
        <w:gridCol w:w="3169"/>
        <w:gridCol w:w="1084"/>
        <w:gridCol w:w="992"/>
        <w:gridCol w:w="1277"/>
        <w:gridCol w:w="1141"/>
        <w:gridCol w:w="1391"/>
        <w:gridCol w:w="924"/>
      </w:tblGrid>
      <w:tr w:rsidR="00D540F8" w:rsidRPr="008A6478" w14:paraId="1D8F5684" w14:textId="77777777" w:rsidTr="00325CF0">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588" w:type="pct"/>
            <w:hideMark/>
          </w:tcPr>
          <w:p w14:paraId="0F44452A" w14:textId="77777777" w:rsidR="00D540F8" w:rsidRPr="008A6478" w:rsidRDefault="00D540F8" w:rsidP="00325CF0">
            <w:pPr>
              <w:pStyle w:val="Tabelid"/>
            </w:pPr>
            <w:r w:rsidRPr="008A6478">
              <w:t> </w:t>
            </w:r>
          </w:p>
        </w:tc>
        <w:tc>
          <w:tcPr>
            <w:tcW w:w="543" w:type="pct"/>
          </w:tcPr>
          <w:p w14:paraId="491E2623" w14:textId="77777777" w:rsidR="00D540F8" w:rsidRPr="008A6478" w:rsidRDefault="00D540F8" w:rsidP="005C246A">
            <w:pPr>
              <w:pStyle w:val="Tabelid"/>
              <w:jc w:val="right"/>
              <w:cnfStyle w:val="100000000000" w:firstRow="1" w:lastRow="0" w:firstColumn="0" w:lastColumn="0" w:oddVBand="0" w:evenVBand="0" w:oddHBand="0" w:evenHBand="0" w:firstRowFirstColumn="0" w:firstRowLastColumn="0" w:lastRowFirstColumn="0" w:lastRowLastColumn="0"/>
            </w:pPr>
            <w:r w:rsidRPr="008A6478">
              <w:t>2019</w:t>
            </w:r>
          </w:p>
        </w:tc>
        <w:tc>
          <w:tcPr>
            <w:tcW w:w="497" w:type="pct"/>
          </w:tcPr>
          <w:p w14:paraId="24A9EA4D" w14:textId="77777777" w:rsidR="00D540F8" w:rsidRPr="008A6478" w:rsidRDefault="00D540F8" w:rsidP="005C246A">
            <w:pPr>
              <w:pStyle w:val="Tabelid"/>
              <w:jc w:val="right"/>
              <w:cnfStyle w:val="100000000000" w:firstRow="1" w:lastRow="0" w:firstColumn="0" w:lastColumn="0" w:oddVBand="0" w:evenVBand="0" w:oddHBand="0" w:evenHBand="0" w:firstRowFirstColumn="0" w:firstRowLastColumn="0" w:lastRowFirstColumn="0" w:lastRowLastColumn="0"/>
            </w:pPr>
            <w:r w:rsidRPr="008A6478">
              <w:t>2020</w:t>
            </w:r>
          </w:p>
        </w:tc>
        <w:tc>
          <w:tcPr>
            <w:tcW w:w="640" w:type="pct"/>
            <w:noWrap/>
            <w:hideMark/>
          </w:tcPr>
          <w:p w14:paraId="258E60CB" w14:textId="77777777" w:rsidR="00D540F8" w:rsidRPr="008A6478" w:rsidRDefault="00D540F8" w:rsidP="005C246A">
            <w:pPr>
              <w:pStyle w:val="Tabelid"/>
              <w:jc w:val="right"/>
              <w:cnfStyle w:val="100000000000" w:firstRow="1" w:lastRow="0" w:firstColumn="0" w:lastColumn="0" w:oddVBand="0" w:evenVBand="0" w:oddHBand="0" w:evenHBand="0" w:firstRowFirstColumn="0" w:firstRowLastColumn="0" w:lastRowFirstColumn="0" w:lastRowLastColumn="0"/>
            </w:pPr>
            <w:r w:rsidRPr="008A6478">
              <w:t>2021</w:t>
            </w:r>
          </w:p>
        </w:tc>
        <w:tc>
          <w:tcPr>
            <w:tcW w:w="1732" w:type="pct"/>
            <w:gridSpan w:val="3"/>
            <w:noWrap/>
            <w:hideMark/>
          </w:tcPr>
          <w:p w14:paraId="622416E6" w14:textId="77777777" w:rsidR="00D540F8" w:rsidRPr="008A6478" w:rsidRDefault="00D540F8" w:rsidP="005C246A">
            <w:pPr>
              <w:pStyle w:val="Tabelid"/>
              <w:jc w:val="right"/>
              <w:cnfStyle w:val="100000000000" w:firstRow="1" w:lastRow="0" w:firstColumn="0" w:lastColumn="0" w:oddVBand="0" w:evenVBand="0" w:oddHBand="0" w:evenHBand="0" w:firstRowFirstColumn="0" w:firstRowLastColumn="0" w:lastRowFirstColumn="0" w:lastRowLastColumn="0"/>
            </w:pPr>
            <w:r w:rsidRPr="008A6478">
              <w:t>2022</w:t>
            </w:r>
          </w:p>
        </w:tc>
      </w:tr>
      <w:tr w:rsidR="00D540F8" w:rsidRPr="008A6478" w14:paraId="32EFBCC2" w14:textId="77777777" w:rsidTr="00325CF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588" w:type="pct"/>
          </w:tcPr>
          <w:p w14:paraId="1EF6BB14" w14:textId="77777777" w:rsidR="00D540F8" w:rsidRPr="008A6478" w:rsidRDefault="00D540F8" w:rsidP="00325CF0">
            <w:pPr>
              <w:pStyle w:val="Tabelid"/>
            </w:pPr>
          </w:p>
        </w:tc>
        <w:tc>
          <w:tcPr>
            <w:tcW w:w="543" w:type="pct"/>
          </w:tcPr>
          <w:p w14:paraId="7A73BFC9" w14:textId="77777777" w:rsidR="00D540F8" w:rsidRPr="008A6478" w:rsidRDefault="00D540F8" w:rsidP="005C246A">
            <w:pPr>
              <w:pStyle w:val="Tabelid"/>
              <w:jc w:val="right"/>
              <w:cnfStyle w:val="000000100000" w:firstRow="0" w:lastRow="0" w:firstColumn="0" w:lastColumn="0" w:oddVBand="0" w:evenVBand="0" w:oddHBand="1" w:evenHBand="0" w:firstRowFirstColumn="0" w:firstRowLastColumn="0" w:lastRowFirstColumn="0" w:lastRowLastColumn="0"/>
            </w:pPr>
            <w:r w:rsidRPr="008A6478">
              <w:t>Täitmine</w:t>
            </w:r>
          </w:p>
        </w:tc>
        <w:tc>
          <w:tcPr>
            <w:tcW w:w="497" w:type="pct"/>
          </w:tcPr>
          <w:p w14:paraId="459173D6" w14:textId="77777777" w:rsidR="00D540F8" w:rsidRPr="008A6478" w:rsidRDefault="00D540F8" w:rsidP="005C246A">
            <w:pPr>
              <w:pStyle w:val="Tabelid"/>
              <w:jc w:val="right"/>
              <w:cnfStyle w:val="000000100000" w:firstRow="0" w:lastRow="0" w:firstColumn="0" w:lastColumn="0" w:oddVBand="0" w:evenVBand="0" w:oddHBand="1" w:evenHBand="0" w:firstRowFirstColumn="0" w:firstRowLastColumn="0" w:lastRowFirstColumn="0" w:lastRowLastColumn="0"/>
            </w:pPr>
            <w:r w:rsidRPr="008A6478">
              <w:t>Täitmine</w:t>
            </w:r>
          </w:p>
        </w:tc>
        <w:tc>
          <w:tcPr>
            <w:tcW w:w="640" w:type="pct"/>
            <w:noWrap/>
          </w:tcPr>
          <w:p w14:paraId="7815AF48" w14:textId="77777777" w:rsidR="00D540F8" w:rsidRPr="008A6478" w:rsidRDefault="00D540F8" w:rsidP="005C246A">
            <w:pPr>
              <w:pStyle w:val="Tabelid"/>
              <w:jc w:val="right"/>
              <w:cnfStyle w:val="000000100000" w:firstRow="0" w:lastRow="0" w:firstColumn="0" w:lastColumn="0" w:oddVBand="0" w:evenVBand="0" w:oddHBand="1" w:evenHBand="0" w:firstRowFirstColumn="0" w:firstRowLastColumn="0" w:lastRowFirstColumn="0" w:lastRowLastColumn="0"/>
            </w:pPr>
            <w:r w:rsidRPr="008A6478">
              <w:t>Täitmine</w:t>
            </w:r>
          </w:p>
        </w:tc>
        <w:tc>
          <w:tcPr>
            <w:tcW w:w="572" w:type="pct"/>
            <w:noWrap/>
          </w:tcPr>
          <w:p w14:paraId="72F2557D" w14:textId="77777777" w:rsidR="00D540F8" w:rsidRPr="008A6478" w:rsidRDefault="00D540F8" w:rsidP="005C246A">
            <w:pPr>
              <w:pStyle w:val="Tabelid"/>
              <w:jc w:val="right"/>
              <w:cnfStyle w:val="000000100000" w:firstRow="0" w:lastRow="0" w:firstColumn="0" w:lastColumn="0" w:oddVBand="0" w:evenVBand="0" w:oddHBand="1" w:evenHBand="0" w:firstRowFirstColumn="0" w:firstRowLastColumn="0" w:lastRowFirstColumn="0" w:lastRowLastColumn="0"/>
            </w:pPr>
            <w:r w:rsidRPr="008A6478">
              <w:t>Eelarve</w:t>
            </w:r>
          </w:p>
        </w:tc>
        <w:tc>
          <w:tcPr>
            <w:tcW w:w="697" w:type="pct"/>
            <w:noWrap/>
          </w:tcPr>
          <w:p w14:paraId="55C691D2" w14:textId="77777777" w:rsidR="00D540F8" w:rsidRPr="008A6478" w:rsidRDefault="00D540F8" w:rsidP="005C246A">
            <w:pPr>
              <w:pStyle w:val="Tabelid"/>
              <w:jc w:val="right"/>
              <w:cnfStyle w:val="000000100000" w:firstRow="0" w:lastRow="0" w:firstColumn="0" w:lastColumn="0" w:oddVBand="0" w:evenVBand="0" w:oddHBand="1" w:evenHBand="0" w:firstRowFirstColumn="0" w:firstRowLastColumn="0" w:lastRowFirstColumn="0" w:lastRowLastColumn="0"/>
            </w:pPr>
            <w:r w:rsidRPr="008A6478">
              <w:t>Prognoos</w:t>
            </w:r>
          </w:p>
        </w:tc>
        <w:tc>
          <w:tcPr>
            <w:tcW w:w="463" w:type="pct"/>
            <w:noWrap/>
          </w:tcPr>
          <w:p w14:paraId="3DD51768" w14:textId="77777777" w:rsidR="00D540F8" w:rsidRPr="008A6478" w:rsidRDefault="00D540F8" w:rsidP="005C246A">
            <w:pPr>
              <w:pStyle w:val="Tabelid"/>
              <w:jc w:val="right"/>
              <w:cnfStyle w:val="000000100000" w:firstRow="0" w:lastRow="0" w:firstColumn="0" w:lastColumn="0" w:oddVBand="0" w:evenVBand="0" w:oddHBand="1" w:evenHBand="0" w:firstRowFirstColumn="0" w:firstRowLastColumn="0" w:lastRowFirstColumn="0" w:lastRowLastColumn="0"/>
            </w:pPr>
            <w:r w:rsidRPr="008A6478">
              <w:t>Muutus</w:t>
            </w:r>
          </w:p>
        </w:tc>
      </w:tr>
      <w:tr w:rsidR="00D540F8" w:rsidRPr="008A6478" w14:paraId="4421F51F" w14:textId="77777777" w:rsidTr="00325CF0">
        <w:trPr>
          <w:trHeight w:val="266"/>
        </w:trPr>
        <w:tc>
          <w:tcPr>
            <w:cnfStyle w:val="001000000000" w:firstRow="0" w:lastRow="0" w:firstColumn="1" w:lastColumn="0" w:oddVBand="0" w:evenVBand="0" w:oddHBand="0" w:evenHBand="0" w:firstRowFirstColumn="0" w:firstRowLastColumn="0" w:lastRowFirstColumn="0" w:lastRowLastColumn="0"/>
            <w:tcW w:w="1588" w:type="pct"/>
            <w:noWrap/>
            <w:hideMark/>
          </w:tcPr>
          <w:p w14:paraId="32293F5C" w14:textId="77777777" w:rsidR="00D540F8" w:rsidRPr="008A6478" w:rsidRDefault="00D540F8" w:rsidP="00325CF0">
            <w:pPr>
              <w:pStyle w:val="Tabelid"/>
              <w:rPr>
                <w:b w:val="0"/>
              </w:rPr>
            </w:pPr>
            <w:r w:rsidRPr="008A6478">
              <w:rPr>
                <w:color w:val="000000"/>
              </w:rPr>
              <w:t>Mittemaksulised tulud</w:t>
            </w:r>
          </w:p>
        </w:tc>
        <w:tc>
          <w:tcPr>
            <w:tcW w:w="543" w:type="pct"/>
            <w:vAlign w:val="center"/>
          </w:tcPr>
          <w:p w14:paraId="737080F0" w14:textId="77777777" w:rsidR="00D540F8" w:rsidRPr="008A6478" w:rsidRDefault="00D540F8" w:rsidP="005C246A">
            <w:pPr>
              <w:pStyle w:val="Tabelid"/>
              <w:jc w:val="right"/>
              <w:cnfStyle w:val="000000000000" w:firstRow="0" w:lastRow="0" w:firstColumn="0" w:lastColumn="0" w:oddVBand="0" w:evenVBand="0" w:oddHBand="0" w:evenHBand="0" w:firstRowFirstColumn="0" w:firstRowLastColumn="0" w:lastRowFirstColumn="0" w:lastRowLastColumn="0"/>
              <w:rPr>
                <w:b/>
                <w:color w:val="000000"/>
              </w:rPr>
            </w:pPr>
            <w:r w:rsidRPr="008A6478">
              <w:rPr>
                <w:b/>
                <w:color w:val="000000"/>
              </w:rPr>
              <w:t>1 515,9</w:t>
            </w:r>
          </w:p>
        </w:tc>
        <w:tc>
          <w:tcPr>
            <w:tcW w:w="497" w:type="pct"/>
            <w:vAlign w:val="center"/>
          </w:tcPr>
          <w:p w14:paraId="3E0F7332" w14:textId="77777777" w:rsidR="00D540F8" w:rsidRPr="008A6478" w:rsidRDefault="00D540F8" w:rsidP="005C246A">
            <w:pPr>
              <w:pStyle w:val="Tabelid"/>
              <w:jc w:val="right"/>
              <w:cnfStyle w:val="000000000000" w:firstRow="0" w:lastRow="0" w:firstColumn="0" w:lastColumn="0" w:oddVBand="0" w:evenVBand="0" w:oddHBand="0" w:evenHBand="0" w:firstRowFirstColumn="0" w:firstRowLastColumn="0" w:lastRowFirstColumn="0" w:lastRowLastColumn="0"/>
              <w:rPr>
                <w:b/>
                <w:color w:val="000000"/>
              </w:rPr>
            </w:pPr>
            <w:r w:rsidRPr="008A6478">
              <w:rPr>
                <w:b/>
                <w:color w:val="000000"/>
              </w:rPr>
              <w:t>1 468,7</w:t>
            </w:r>
          </w:p>
        </w:tc>
        <w:tc>
          <w:tcPr>
            <w:tcW w:w="640" w:type="pct"/>
            <w:noWrap/>
            <w:vAlign w:val="center"/>
            <w:hideMark/>
          </w:tcPr>
          <w:p w14:paraId="71C31050" w14:textId="77777777" w:rsidR="00D540F8" w:rsidRPr="008A6478" w:rsidRDefault="00D540F8" w:rsidP="005C246A">
            <w:pPr>
              <w:pStyle w:val="Tabelid"/>
              <w:jc w:val="right"/>
              <w:cnfStyle w:val="000000000000" w:firstRow="0" w:lastRow="0" w:firstColumn="0" w:lastColumn="0" w:oddVBand="0" w:evenVBand="0" w:oddHBand="0" w:evenHBand="0" w:firstRowFirstColumn="0" w:firstRowLastColumn="0" w:lastRowFirstColumn="0" w:lastRowLastColumn="0"/>
              <w:rPr>
                <w:b/>
                <w:color w:val="000000"/>
              </w:rPr>
            </w:pPr>
            <w:r w:rsidRPr="008A6478">
              <w:rPr>
                <w:b/>
                <w:color w:val="000000"/>
              </w:rPr>
              <w:t>1 526,5</w:t>
            </w:r>
          </w:p>
        </w:tc>
        <w:tc>
          <w:tcPr>
            <w:tcW w:w="572" w:type="pct"/>
            <w:noWrap/>
            <w:vAlign w:val="center"/>
            <w:hideMark/>
          </w:tcPr>
          <w:p w14:paraId="6355D462" w14:textId="77777777" w:rsidR="00D540F8" w:rsidRPr="008A6478" w:rsidRDefault="00D540F8" w:rsidP="005C246A">
            <w:pPr>
              <w:pStyle w:val="Tabelid"/>
              <w:jc w:val="right"/>
              <w:cnfStyle w:val="000000000000" w:firstRow="0" w:lastRow="0" w:firstColumn="0" w:lastColumn="0" w:oddVBand="0" w:evenVBand="0" w:oddHBand="0" w:evenHBand="0" w:firstRowFirstColumn="0" w:firstRowLastColumn="0" w:lastRowFirstColumn="0" w:lastRowLastColumn="0"/>
              <w:rPr>
                <w:b/>
                <w:color w:val="000000"/>
              </w:rPr>
            </w:pPr>
            <w:r w:rsidRPr="008A6478">
              <w:rPr>
                <w:b/>
                <w:color w:val="000000"/>
              </w:rPr>
              <w:t>2 024,9</w:t>
            </w:r>
          </w:p>
        </w:tc>
        <w:tc>
          <w:tcPr>
            <w:tcW w:w="697" w:type="pct"/>
            <w:noWrap/>
            <w:vAlign w:val="center"/>
            <w:hideMark/>
          </w:tcPr>
          <w:p w14:paraId="6EC18F3D" w14:textId="77777777" w:rsidR="00D540F8" w:rsidRPr="009D465B" w:rsidRDefault="00D540F8" w:rsidP="005C246A">
            <w:pPr>
              <w:pStyle w:val="Tabelid"/>
              <w:jc w:val="right"/>
              <w:cnfStyle w:val="000000000000" w:firstRow="0" w:lastRow="0" w:firstColumn="0" w:lastColumn="0" w:oddVBand="0" w:evenVBand="0" w:oddHBand="0" w:evenHBand="0" w:firstRowFirstColumn="0" w:firstRowLastColumn="0" w:lastRowFirstColumn="0" w:lastRowLastColumn="0"/>
              <w:rPr>
                <w:b/>
                <w:color w:val="000000"/>
              </w:rPr>
            </w:pPr>
            <w:r w:rsidRPr="009D465B">
              <w:rPr>
                <w:b/>
                <w:color w:val="000000"/>
              </w:rPr>
              <w:t>2 049,1</w:t>
            </w:r>
          </w:p>
        </w:tc>
        <w:tc>
          <w:tcPr>
            <w:tcW w:w="463" w:type="pct"/>
            <w:noWrap/>
            <w:vAlign w:val="center"/>
            <w:hideMark/>
          </w:tcPr>
          <w:p w14:paraId="12A0F69F" w14:textId="77777777" w:rsidR="00D540F8" w:rsidRPr="009D465B" w:rsidRDefault="00D540F8" w:rsidP="005C246A">
            <w:pPr>
              <w:pStyle w:val="Tabelid"/>
              <w:jc w:val="right"/>
              <w:cnfStyle w:val="000000000000" w:firstRow="0" w:lastRow="0" w:firstColumn="0" w:lastColumn="0" w:oddVBand="0" w:evenVBand="0" w:oddHBand="0" w:evenHBand="0" w:firstRowFirstColumn="0" w:firstRowLastColumn="0" w:lastRowFirstColumn="0" w:lastRowLastColumn="0"/>
              <w:rPr>
                <w:b/>
                <w:color w:val="000000"/>
              </w:rPr>
            </w:pPr>
            <w:r w:rsidRPr="009D465B">
              <w:rPr>
                <w:b/>
                <w:color w:val="000000"/>
              </w:rPr>
              <w:t>24,2</w:t>
            </w:r>
          </w:p>
        </w:tc>
      </w:tr>
      <w:tr w:rsidR="00D540F8" w:rsidRPr="008A6478" w14:paraId="22EAB4EE" w14:textId="77777777" w:rsidTr="00325CF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588" w:type="pct"/>
            <w:noWrap/>
          </w:tcPr>
          <w:p w14:paraId="65C58B6A" w14:textId="77777777" w:rsidR="00D540F8" w:rsidRPr="008A6478" w:rsidRDefault="00D540F8" w:rsidP="00325CF0">
            <w:pPr>
              <w:pStyle w:val="Tabelid"/>
              <w:rPr>
                <w:b w:val="0"/>
              </w:rPr>
            </w:pPr>
            <w:r w:rsidRPr="008A6478">
              <w:rPr>
                <w:b w:val="0"/>
                <w:color w:val="000000"/>
              </w:rPr>
              <w:t>Kaupade ja teenuste müük</w:t>
            </w:r>
          </w:p>
        </w:tc>
        <w:tc>
          <w:tcPr>
            <w:tcW w:w="543" w:type="pct"/>
            <w:vAlign w:val="center"/>
          </w:tcPr>
          <w:p w14:paraId="66824396" w14:textId="77777777" w:rsidR="00D540F8" w:rsidRPr="008A6478" w:rsidRDefault="00D540F8" w:rsidP="005C246A">
            <w:pPr>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18"/>
              </w:rPr>
            </w:pPr>
            <w:r w:rsidRPr="008A6478">
              <w:rPr>
                <w:rFonts w:cs="Calibri"/>
                <w:color w:val="000000"/>
                <w:sz w:val="20"/>
                <w:szCs w:val="18"/>
              </w:rPr>
              <w:t>299,8</w:t>
            </w:r>
          </w:p>
        </w:tc>
        <w:tc>
          <w:tcPr>
            <w:tcW w:w="497" w:type="pct"/>
            <w:vAlign w:val="center"/>
          </w:tcPr>
          <w:p w14:paraId="2E67C8C8" w14:textId="77777777" w:rsidR="00D540F8" w:rsidRPr="008A6478" w:rsidRDefault="00D540F8" w:rsidP="005C246A">
            <w:pPr>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18"/>
              </w:rPr>
            </w:pPr>
            <w:r w:rsidRPr="008A6478">
              <w:rPr>
                <w:rFonts w:cs="Calibri"/>
                <w:color w:val="000000"/>
                <w:sz w:val="20"/>
                <w:szCs w:val="18"/>
              </w:rPr>
              <w:t>309,0</w:t>
            </w:r>
          </w:p>
        </w:tc>
        <w:tc>
          <w:tcPr>
            <w:tcW w:w="640" w:type="pct"/>
            <w:noWrap/>
            <w:vAlign w:val="center"/>
          </w:tcPr>
          <w:p w14:paraId="5E8E5AB9" w14:textId="77777777" w:rsidR="00D540F8" w:rsidRPr="008A6478" w:rsidRDefault="00D540F8" w:rsidP="005C246A">
            <w:pPr>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18"/>
              </w:rPr>
            </w:pPr>
            <w:r w:rsidRPr="008A6478">
              <w:rPr>
                <w:rFonts w:cs="Calibri"/>
                <w:color w:val="000000"/>
                <w:sz w:val="20"/>
                <w:szCs w:val="18"/>
              </w:rPr>
              <w:t>295,1</w:t>
            </w:r>
          </w:p>
        </w:tc>
        <w:tc>
          <w:tcPr>
            <w:tcW w:w="572" w:type="pct"/>
            <w:noWrap/>
            <w:vAlign w:val="center"/>
          </w:tcPr>
          <w:p w14:paraId="163B62A5" w14:textId="77777777" w:rsidR="00D540F8" w:rsidRPr="008A6478" w:rsidRDefault="00D540F8" w:rsidP="005C246A">
            <w:pPr>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18"/>
              </w:rPr>
            </w:pPr>
            <w:r w:rsidRPr="008A6478">
              <w:rPr>
                <w:rFonts w:cs="Calibri"/>
                <w:color w:val="000000"/>
                <w:sz w:val="20"/>
                <w:szCs w:val="18"/>
              </w:rPr>
              <w:t>387,6</w:t>
            </w:r>
          </w:p>
        </w:tc>
        <w:tc>
          <w:tcPr>
            <w:tcW w:w="697" w:type="pct"/>
            <w:noWrap/>
          </w:tcPr>
          <w:p w14:paraId="7F441BF2" w14:textId="77777777" w:rsidR="00D540F8" w:rsidRPr="009D465B" w:rsidRDefault="00D540F8" w:rsidP="005C246A">
            <w:pPr>
              <w:pStyle w:val="Tabelid"/>
              <w:jc w:val="right"/>
              <w:cnfStyle w:val="000000100000" w:firstRow="0" w:lastRow="0" w:firstColumn="0" w:lastColumn="0" w:oddVBand="0" w:evenVBand="0" w:oddHBand="1" w:evenHBand="0" w:firstRowFirstColumn="0" w:firstRowLastColumn="0" w:lastRowFirstColumn="0" w:lastRowLastColumn="0"/>
              <w:rPr>
                <w:color w:val="000000"/>
              </w:rPr>
            </w:pPr>
            <w:r w:rsidRPr="009D465B">
              <w:rPr>
                <w:color w:val="000000"/>
              </w:rPr>
              <w:t>439,0</w:t>
            </w:r>
          </w:p>
        </w:tc>
        <w:tc>
          <w:tcPr>
            <w:tcW w:w="463" w:type="pct"/>
            <w:noWrap/>
          </w:tcPr>
          <w:p w14:paraId="72F1021B" w14:textId="77777777" w:rsidR="00D540F8" w:rsidRPr="009D465B" w:rsidRDefault="00D540F8" w:rsidP="005C246A">
            <w:pPr>
              <w:pStyle w:val="Tabelid"/>
              <w:jc w:val="right"/>
              <w:cnfStyle w:val="000000100000" w:firstRow="0" w:lastRow="0" w:firstColumn="0" w:lastColumn="0" w:oddVBand="0" w:evenVBand="0" w:oddHBand="1" w:evenHBand="0" w:firstRowFirstColumn="0" w:firstRowLastColumn="0" w:lastRowFirstColumn="0" w:lastRowLastColumn="0"/>
              <w:rPr>
                <w:color w:val="000000"/>
              </w:rPr>
            </w:pPr>
            <w:r w:rsidRPr="009D465B">
              <w:rPr>
                <w:color w:val="000000"/>
              </w:rPr>
              <w:t>51,4</w:t>
            </w:r>
          </w:p>
        </w:tc>
      </w:tr>
      <w:tr w:rsidR="00D540F8" w:rsidRPr="008A6478" w14:paraId="47279712" w14:textId="77777777" w:rsidTr="00325CF0">
        <w:trPr>
          <w:trHeight w:val="266"/>
        </w:trPr>
        <w:tc>
          <w:tcPr>
            <w:cnfStyle w:val="001000000000" w:firstRow="0" w:lastRow="0" w:firstColumn="1" w:lastColumn="0" w:oddVBand="0" w:evenVBand="0" w:oddHBand="0" w:evenHBand="0" w:firstRowFirstColumn="0" w:firstRowLastColumn="0" w:lastRowFirstColumn="0" w:lastRowLastColumn="0"/>
            <w:tcW w:w="1588" w:type="pct"/>
            <w:noWrap/>
          </w:tcPr>
          <w:p w14:paraId="212BD053" w14:textId="77777777" w:rsidR="00D540F8" w:rsidRPr="008A6478" w:rsidRDefault="00D540F8" w:rsidP="00325CF0">
            <w:pPr>
              <w:pStyle w:val="Tabelid"/>
              <w:rPr>
                <w:b w:val="0"/>
              </w:rPr>
            </w:pPr>
            <w:r w:rsidRPr="008A6478">
              <w:rPr>
                <w:b w:val="0"/>
                <w:color w:val="000000"/>
              </w:rPr>
              <w:t>Saadud toetused</w:t>
            </w:r>
          </w:p>
        </w:tc>
        <w:tc>
          <w:tcPr>
            <w:tcW w:w="543" w:type="pct"/>
            <w:vAlign w:val="center"/>
          </w:tcPr>
          <w:p w14:paraId="28E3CD08" w14:textId="77777777" w:rsidR="00D540F8" w:rsidRPr="008A6478" w:rsidRDefault="00D540F8" w:rsidP="005C246A">
            <w:pPr>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18"/>
              </w:rPr>
            </w:pPr>
            <w:r w:rsidRPr="008A6478">
              <w:rPr>
                <w:rFonts w:cs="Calibri"/>
                <w:color w:val="000000"/>
                <w:sz w:val="20"/>
                <w:szCs w:val="18"/>
              </w:rPr>
              <w:t>845,7</w:t>
            </w:r>
          </w:p>
        </w:tc>
        <w:tc>
          <w:tcPr>
            <w:tcW w:w="497" w:type="pct"/>
            <w:vAlign w:val="center"/>
          </w:tcPr>
          <w:p w14:paraId="463D6D52" w14:textId="77777777" w:rsidR="00D540F8" w:rsidRPr="008A6478" w:rsidRDefault="00D540F8" w:rsidP="005C246A">
            <w:pPr>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18"/>
              </w:rPr>
            </w:pPr>
            <w:r w:rsidRPr="008A6478">
              <w:rPr>
                <w:rFonts w:cs="Calibri"/>
                <w:color w:val="000000"/>
                <w:sz w:val="20"/>
                <w:szCs w:val="18"/>
              </w:rPr>
              <w:t>838,4</w:t>
            </w:r>
          </w:p>
        </w:tc>
        <w:tc>
          <w:tcPr>
            <w:tcW w:w="640" w:type="pct"/>
            <w:noWrap/>
            <w:vAlign w:val="center"/>
          </w:tcPr>
          <w:p w14:paraId="3D97AC38" w14:textId="77777777" w:rsidR="00D540F8" w:rsidRPr="008A6478" w:rsidRDefault="00D540F8" w:rsidP="005C246A">
            <w:pPr>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18"/>
              </w:rPr>
            </w:pPr>
            <w:r w:rsidRPr="008A6478">
              <w:rPr>
                <w:rFonts w:cs="Calibri"/>
                <w:color w:val="000000"/>
                <w:sz w:val="20"/>
                <w:szCs w:val="18"/>
              </w:rPr>
              <w:t>935,4</w:t>
            </w:r>
          </w:p>
        </w:tc>
        <w:tc>
          <w:tcPr>
            <w:tcW w:w="572" w:type="pct"/>
            <w:noWrap/>
            <w:vAlign w:val="center"/>
          </w:tcPr>
          <w:p w14:paraId="7EB6BA7B" w14:textId="77777777" w:rsidR="00D540F8" w:rsidRPr="008A6478" w:rsidRDefault="00D540F8" w:rsidP="005C246A">
            <w:pPr>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18"/>
              </w:rPr>
            </w:pPr>
            <w:r w:rsidRPr="008A6478">
              <w:rPr>
                <w:rFonts w:cs="Calibri"/>
                <w:color w:val="000000"/>
                <w:sz w:val="20"/>
                <w:szCs w:val="18"/>
              </w:rPr>
              <w:t>1363,3</w:t>
            </w:r>
          </w:p>
        </w:tc>
        <w:tc>
          <w:tcPr>
            <w:tcW w:w="697" w:type="pct"/>
            <w:noWrap/>
          </w:tcPr>
          <w:p w14:paraId="431CEE3B" w14:textId="77777777" w:rsidR="00D540F8" w:rsidRPr="009D465B" w:rsidRDefault="00D540F8" w:rsidP="005C246A">
            <w:pPr>
              <w:pStyle w:val="Tabelid"/>
              <w:jc w:val="right"/>
              <w:cnfStyle w:val="000000000000" w:firstRow="0" w:lastRow="0" w:firstColumn="0" w:lastColumn="0" w:oddVBand="0" w:evenVBand="0" w:oddHBand="0" w:evenHBand="0" w:firstRowFirstColumn="0" w:firstRowLastColumn="0" w:lastRowFirstColumn="0" w:lastRowLastColumn="0"/>
              <w:rPr>
                <w:color w:val="000000"/>
              </w:rPr>
            </w:pPr>
            <w:r w:rsidRPr="009D465B">
              <w:rPr>
                <w:color w:val="000000"/>
              </w:rPr>
              <w:t>1302,6</w:t>
            </w:r>
          </w:p>
        </w:tc>
        <w:tc>
          <w:tcPr>
            <w:tcW w:w="463" w:type="pct"/>
            <w:noWrap/>
          </w:tcPr>
          <w:p w14:paraId="47EC167D" w14:textId="77777777" w:rsidR="00D540F8" w:rsidRPr="009D465B" w:rsidRDefault="00D540F8" w:rsidP="005C246A">
            <w:pPr>
              <w:pStyle w:val="Tabelid"/>
              <w:jc w:val="right"/>
              <w:cnfStyle w:val="000000000000" w:firstRow="0" w:lastRow="0" w:firstColumn="0" w:lastColumn="0" w:oddVBand="0" w:evenVBand="0" w:oddHBand="0" w:evenHBand="0" w:firstRowFirstColumn="0" w:firstRowLastColumn="0" w:lastRowFirstColumn="0" w:lastRowLastColumn="0"/>
              <w:rPr>
                <w:color w:val="000000"/>
              </w:rPr>
            </w:pPr>
            <w:r w:rsidRPr="009D465B">
              <w:rPr>
                <w:color w:val="000000"/>
              </w:rPr>
              <w:t>-60,8</w:t>
            </w:r>
          </w:p>
        </w:tc>
      </w:tr>
      <w:tr w:rsidR="00D540F8" w:rsidRPr="008A6478" w14:paraId="4570B82F" w14:textId="77777777" w:rsidTr="00325CF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588" w:type="pct"/>
            <w:noWrap/>
          </w:tcPr>
          <w:p w14:paraId="54DB6953" w14:textId="77777777" w:rsidR="00D540F8" w:rsidRPr="008A6478" w:rsidRDefault="00D540F8" w:rsidP="00325CF0">
            <w:pPr>
              <w:pStyle w:val="Tabelid"/>
              <w:rPr>
                <w:b w:val="0"/>
              </w:rPr>
            </w:pPr>
            <w:r w:rsidRPr="008A6478">
              <w:rPr>
                <w:b w:val="0"/>
                <w:color w:val="000000"/>
              </w:rPr>
              <w:t>Muud tulud</w:t>
            </w:r>
          </w:p>
        </w:tc>
        <w:tc>
          <w:tcPr>
            <w:tcW w:w="543" w:type="pct"/>
            <w:vAlign w:val="center"/>
          </w:tcPr>
          <w:p w14:paraId="0064828D" w14:textId="77777777" w:rsidR="00D540F8" w:rsidRPr="008A6478" w:rsidRDefault="00D540F8" w:rsidP="005C246A">
            <w:pPr>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18"/>
              </w:rPr>
            </w:pPr>
            <w:r w:rsidRPr="008A6478">
              <w:rPr>
                <w:rFonts w:cs="Calibri"/>
                <w:color w:val="000000"/>
                <w:sz w:val="20"/>
                <w:szCs w:val="18"/>
              </w:rPr>
              <w:t>190,1</w:t>
            </w:r>
          </w:p>
        </w:tc>
        <w:tc>
          <w:tcPr>
            <w:tcW w:w="497" w:type="pct"/>
            <w:vAlign w:val="center"/>
          </w:tcPr>
          <w:p w14:paraId="2AF11631" w14:textId="77777777" w:rsidR="00D540F8" w:rsidRPr="008A6478" w:rsidRDefault="00D540F8" w:rsidP="005C246A">
            <w:pPr>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18"/>
              </w:rPr>
            </w:pPr>
            <w:r w:rsidRPr="008A6478">
              <w:rPr>
                <w:rFonts w:cs="Calibri"/>
                <w:color w:val="000000"/>
                <w:sz w:val="20"/>
                <w:szCs w:val="18"/>
              </w:rPr>
              <w:t>122,4</w:t>
            </w:r>
          </w:p>
        </w:tc>
        <w:tc>
          <w:tcPr>
            <w:tcW w:w="640" w:type="pct"/>
            <w:noWrap/>
            <w:vAlign w:val="center"/>
          </w:tcPr>
          <w:p w14:paraId="7DED2DC4" w14:textId="77777777" w:rsidR="00D540F8" w:rsidRPr="008A6478" w:rsidRDefault="00D540F8" w:rsidP="005C246A">
            <w:pPr>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18"/>
              </w:rPr>
            </w:pPr>
            <w:r w:rsidRPr="008A6478">
              <w:rPr>
                <w:rFonts w:cs="Calibri"/>
                <w:color w:val="000000"/>
                <w:sz w:val="20"/>
                <w:szCs w:val="18"/>
              </w:rPr>
              <w:t>185,1</w:t>
            </w:r>
          </w:p>
        </w:tc>
        <w:tc>
          <w:tcPr>
            <w:tcW w:w="572" w:type="pct"/>
            <w:noWrap/>
            <w:vAlign w:val="center"/>
          </w:tcPr>
          <w:p w14:paraId="0F01A9DF" w14:textId="77777777" w:rsidR="00D540F8" w:rsidRPr="008A6478" w:rsidRDefault="00D540F8" w:rsidP="005C246A">
            <w:pPr>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18"/>
              </w:rPr>
            </w:pPr>
            <w:r w:rsidRPr="008A6478">
              <w:rPr>
                <w:rFonts w:cs="Calibri"/>
                <w:color w:val="000000"/>
                <w:sz w:val="20"/>
                <w:szCs w:val="18"/>
              </w:rPr>
              <w:t>165,6</w:t>
            </w:r>
          </w:p>
        </w:tc>
        <w:tc>
          <w:tcPr>
            <w:tcW w:w="697" w:type="pct"/>
            <w:noWrap/>
          </w:tcPr>
          <w:p w14:paraId="4DDE989E" w14:textId="77777777" w:rsidR="00D540F8" w:rsidRPr="009D465B" w:rsidRDefault="00D540F8" w:rsidP="005C246A">
            <w:pPr>
              <w:pStyle w:val="Tabelid"/>
              <w:jc w:val="right"/>
              <w:cnfStyle w:val="000000100000" w:firstRow="0" w:lastRow="0" w:firstColumn="0" w:lastColumn="0" w:oddVBand="0" w:evenVBand="0" w:oddHBand="1" w:evenHBand="0" w:firstRowFirstColumn="0" w:firstRowLastColumn="0" w:lastRowFirstColumn="0" w:lastRowLastColumn="0"/>
              <w:rPr>
                <w:color w:val="000000"/>
              </w:rPr>
            </w:pPr>
            <w:r w:rsidRPr="009D465B">
              <w:rPr>
                <w:color w:val="000000"/>
              </w:rPr>
              <w:t>165,6</w:t>
            </w:r>
          </w:p>
        </w:tc>
        <w:tc>
          <w:tcPr>
            <w:tcW w:w="463" w:type="pct"/>
            <w:noWrap/>
          </w:tcPr>
          <w:p w14:paraId="6F91BF9C" w14:textId="77777777" w:rsidR="00D540F8" w:rsidRPr="009D465B" w:rsidRDefault="00D540F8" w:rsidP="005C246A">
            <w:pPr>
              <w:pStyle w:val="Tabelid"/>
              <w:jc w:val="right"/>
              <w:cnfStyle w:val="000000100000" w:firstRow="0" w:lastRow="0" w:firstColumn="0" w:lastColumn="0" w:oddVBand="0" w:evenVBand="0" w:oddHBand="1" w:evenHBand="0" w:firstRowFirstColumn="0" w:firstRowLastColumn="0" w:lastRowFirstColumn="0" w:lastRowLastColumn="0"/>
              <w:rPr>
                <w:color w:val="000000"/>
              </w:rPr>
            </w:pPr>
            <w:r w:rsidRPr="009D465B">
              <w:rPr>
                <w:color w:val="000000"/>
              </w:rPr>
              <w:t>-0,1</w:t>
            </w:r>
          </w:p>
        </w:tc>
      </w:tr>
      <w:tr w:rsidR="00D540F8" w:rsidRPr="008A6478" w14:paraId="712F7021" w14:textId="77777777" w:rsidTr="00325CF0">
        <w:trPr>
          <w:trHeight w:val="266"/>
        </w:trPr>
        <w:tc>
          <w:tcPr>
            <w:cnfStyle w:val="001000000000" w:firstRow="0" w:lastRow="0" w:firstColumn="1" w:lastColumn="0" w:oddVBand="0" w:evenVBand="0" w:oddHBand="0" w:evenHBand="0" w:firstRowFirstColumn="0" w:firstRowLastColumn="0" w:lastRowFirstColumn="0" w:lastRowLastColumn="0"/>
            <w:tcW w:w="1588" w:type="pct"/>
            <w:noWrap/>
          </w:tcPr>
          <w:p w14:paraId="1056CE4D" w14:textId="77777777" w:rsidR="00D540F8" w:rsidRPr="008A6478" w:rsidRDefault="00D540F8" w:rsidP="00325CF0">
            <w:pPr>
              <w:pStyle w:val="Tabelid"/>
              <w:rPr>
                <w:b w:val="0"/>
              </w:rPr>
            </w:pPr>
            <w:r w:rsidRPr="008A6478">
              <w:rPr>
                <w:b w:val="0"/>
                <w:color w:val="000000"/>
              </w:rPr>
              <w:t>Finantstulud</w:t>
            </w:r>
          </w:p>
        </w:tc>
        <w:tc>
          <w:tcPr>
            <w:tcW w:w="543" w:type="pct"/>
            <w:vAlign w:val="center"/>
          </w:tcPr>
          <w:p w14:paraId="6D3510AC" w14:textId="77777777" w:rsidR="00D540F8" w:rsidRPr="008A6478" w:rsidRDefault="00D540F8" w:rsidP="005C246A">
            <w:pPr>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18"/>
              </w:rPr>
            </w:pPr>
            <w:r w:rsidRPr="008A6478">
              <w:rPr>
                <w:rFonts w:cs="Calibri"/>
                <w:color w:val="000000"/>
                <w:sz w:val="20"/>
                <w:szCs w:val="18"/>
              </w:rPr>
              <w:t>180,4</w:t>
            </w:r>
          </w:p>
        </w:tc>
        <w:tc>
          <w:tcPr>
            <w:tcW w:w="497" w:type="pct"/>
            <w:vAlign w:val="center"/>
          </w:tcPr>
          <w:p w14:paraId="27CD993C" w14:textId="77777777" w:rsidR="00D540F8" w:rsidRPr="008A6478" w:rsidRDefault="00D540F8" w:rsidP="005C246A">
            <w:pPr>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18"/>
              </w:rPr>
            </w:pPr>
            <w:r w:rsidRPr="008A6478">
              <w:rPr>
                <w:rFonts w:cs="Calibri"/>
                <w:color w:val="000000"/>
                <w:sz w:val="20"/>
                <w:szCs w:val="18"/>
              </w:rPr>
              <w:t>198,8</w:t>
            </w:r>
          </w:p>
        </w:tc>
        <w:tc>
          <w:tcPr>
            <w:tcW w:w="640" w:type="pct"/>
            <w:noWrap/>
            <w:vAlign w:val="center"/>
          </w:tcPr>
          <w:p w14:paraId="157C6B4A" w14:textId="77777777" w:rsidR="00D540F8" w:rsidRPr="008A6478" w:rsidRDefault="00D540F8" w:rsidP="005C246A">
            <w:pPr>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18"/>
              </w:rPr>
            </w:pPr>
            <w:r w:rsidRPr="008A6478">
              <w:rPr>
                <w:rFonts w:cs="Calibri"/>
                <w:color w:val="000000"/>
                <w:sz w:val="20"/>
                <w:szCs w:val="18"/>
              </w:rPr>
              <w:t>110,8</w:t>
            </w:r>
          </w:p>
        </w:tc>
        <w:tc>
          <w:tcPr>
            <w:tcW w:w="572" w:type="pct"/>
            <w:noWrap/>
            <w:vAlign w:val="center"/>
          </w:tcPr>
          <w:p w14:paraId="612CBD36" w14:textId="77777777" w:rsidR="00D540F8" w:rsidRPr="008A6478" w:rsidRDefault="00D540F8" w:rsidP="005C246A">
            <w:pPr>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18"/>
              </w:rPr>
            </w:pPr>
            <w:r w:rsidRPr="008A6478">
              <w:rPr>
                <w:rFonts w:cs="Calibri"/>
                <w:color w:val="000000"/>
                <w:sz w:val="20"/>
                <w:szCs w:val="18"/>
              </w:rPr>
              <w:t>108,4</w:t>
            </w:r>
          </w:p>
        </w:tc>
        <w:tc>
          <w:tcPr>
            <w:tcW w:w="697" w:type="pct"/>
            <w:noWrap/>
          </w:tcPr>
          <w:p w14:paraId="0C63BDD3" w14:textId="77777777" w:rsidR="00D540F8" w:rsidRPr="009D465B" w:rsidRDefault="00D540F8" w:rsidP="005C246A">
            <w:pPr>
              <w:pStyle w:val="Tabelid"/>
              <w:jc w:val="right"/>
              <w:cnfStyle w:val="000000000000" w:firstRow="0" w:lastRow="0" w:firstColumn="0" w:lastColumn="0" w:oddVBand="0" w:evenVBand="0" w:oddHBand="0" w:evenHBand="0" w:firstRowFirstColumn="0" w:firstRowLastColumn="0" w:lastRowFirstColumn="0" w:lastRowLastColumn="0"/>
              <w:rPr>
                <w:color w:val="000000"/>
              </w:rPr>
            </w:pPr>
            <w:r w:rsidRPr="009D465B">
              <w:rPr>
                <w:color w:val="000000"/>
              </w:rPr>
              <w:t>142,0</w:t>
            </w:r>
          </w:p>
        </w:tc>
        <w:tc>
          <w:tcPr>
            <w:tcW w:w="463" w:type="pct"/>
            <w:noWrap/>
          </w:tcPr>
          <w:p w14:paraId="69760F22" w14:textId="77777777" w:rsidR="00D540F8" w:rsidRPr="009D465B" w:rsidRDefault="00D540F8" w:rsidP="005C246A">
            <w:pPr>
              <w:pStyle w:val="Tabelid"/>
              <w:jc w:val="right"/>
              <w:cnfStyle w:val="000000000000" w:firstRow="0" w:lastRow="0" w:firstColumn="0" w:lastColumn="0" w:oddVBand="0" w:evenVBand="0" w:oddHBand="0" w:evenHBand="0" w:firstRowFirstColumn="0" w:firstRowLastColumn="0" w:lastRowFirstColumn="0" w:lastRowLastColumn="0"/>
              <w:rPr>
                <w:color w:val="000000"/>
              </w:rPr>
            </w:pPr>
            <w:r w:rsidRPr="009D465B">
              <w:rPr>
                <w:color w:val="000000"/>
              </w:rPr>
              <w:t>33,6</w:t>
            </w:r>
          </w:p>
        </w:tc>
      </w:tr>
    </w:tbl>
    <w:p w14:paraId="43ED8797" w14:textId="77777777" w:rsidR="00D540F8" w:rsidRPr="008A6478" w:rsidRDefault="00D540F8" w:rsidP="00D540F8">
      <w:pPr>
        <w:pStyle w:val="Mrkus"/>
        <w:numPr>
          <w:ilvl w:val="0"/>
          <w:numId w:val="0"/>
        </w:numPr>
        <w:jc w:val="both"/>
        <w:sectPr w:rsidR="00D540F8" w:rsidRPr="008A6478" w:rsidSect="0093189D">
          <w:endnotePr>
            <w:numFmt w:val="decimal"/>
          </w:endnotePr>
          <w:type w:val="continuous"/>
          <w:pgSz w:w="11906" w:h="16838"/>
          <w:pgMar w:top="964" w:right="964" w:bottom="964" w:left="964" w:header="709" w:footer="709" w:gutter="0"/>
          <w:cols w:space="708"/>
          <w:docGrid w:linePitch="360"/>
        </w:sectPr>
      </w:pPr>
      <w:r w:rsidRPr="008A6478">
        <w:t>Allikas: Rahandusministeerium</w:t>
      </w:r>
    </w:p>
    <w:p w14:paraId="0A779163" w14:textId="77777777" w:rsidR="00D540F8" w:rsidRPr="00E56B38" w:rsidRDefault="00D540F8" w:rsidP="00D540F8">
      <w:pPr>
        <w:pStyle w:val="Mrkus"/>
        <w:numPr>
          <w:ilvl w:val="0"/>
          <w:numId w:val="0"/>
        </w:numPr>
        <w:jc w:val="both"/>
        <w:rPr>
          <w:highlight w:val="yellow"/>
        </w:rPr>
        <w:sectPr w:rsidR="00D540F8" w:rsidRPr="00E56B38" w:rsidSect="0093189D">
          <w:endnotePr>
            <w:numFmt w:val="decimal"/>
          </w:endnotePr>
          <w:type w:val="continuous"/>
          <w:pgSz w:w="11906" w:h="16838"/>
          <w:pgMar w:top="964" w:right="964" w:bottom="964" w:left="964" w:header="709" w:footer="709" w:gutter="0"/>
          <w:cols w:space="708"/>
          <w:docGrid w:linePitch="360"/>
        </w:sectPr>
      </w:pPr>
    </w:p>
    <w:p w14:paraId="15ACB19C" w14:textId="77777777" w:rsidR="00D540F8" w:rsidRPr="00201619" w:rsidRDefault="00D540F8" w:rsidP="00667CAF">
      <w:pPr>
        <w:pStyle w:val="Phitekst"/>
      </w:pPr>
      <w:r w:rsidRPr="00201619">
        <w:rPr>
          <w:b/>
          <w:bCs/>
        </w:rPr>
        <w:t>Kaupade ja teenuste müügi</w:t>
      </w:r>
      <w:r w:rsidRPr="00667CAF">
        <w:t xml:space="preserve"> </w:t>
      </w:r>
      <w:r w:rsidRPr="00201619">
        <w:t>2022. aasta laekumise prognoosi suurendati võrreldes eelarve prognoosiga 51 mln võrra 439 mln eurole. Põhilise osa moodustab siin CO</w:t>
      </w:r>
      <w:r w:rsidRPr="00F600D4">
        <w:rPr>
          <w:vertAlign w:val="subscript"/>
        </w:rPr>
        <w:t>2</w:t>
      </w:r>
      <w:r w:rsidRPr="00201619">
        <w:t xml:space="preserve"> kvootide müügitulu, mida sel aastal laekub prognoositavalt 265 mln eurot ning järgmisel aastal tõuseb laekumine 300 mln euroni. Varasema prognoosiga võrreldes suureneb laekumine tänu kõrgemale ühikuhinnale. Tulude kasvu põhjustab ka sageduslubade müük, mida planeeritakse sel aastal 26 mln ning järgmisel aastal 15 mln euro eest.  Märksa stabiilsemalt laekub tulu </w:t>
      </w:r>
      <w:r w:rsidRPr="00201619">
        <w:t>riigilõivudelt, prognoosiperioodi keskmine kasv on 0,7% aastas.</w:t>
      </w:r>
    </w:p>
    <w:p w14:paraId="1D267BC0" w14:textId="085CAD98" w:rsidR="00D540F8" w:rsidRPr="00201619" w:rsidRDefault="00D540F8" w:rsidP="00667CAF">
      <w:pPr>
        <w:pStyle w:val="Phitekst"/>
        <w:rPr>
          <w:bCs/>
        </w:rPr>
      </w:pPr>
      <w:bookmarkStart w:id="110" w:name="_Hlk99545923"/>
      <w:r w:rsidRPr="00201619">
        <w:rPr>
          <w:b/>
          <w:bCs/>
        </w:rPr>
        <w:t xml:space="preserve">Välistoetuste </w:t>
      </w:r>
      <w:r w:rsidRPr="00201619">
        <w:rPr>
          <w:bCs/>
        </w:rPr>
        <w:t>maht saavutab tipu 2023. aastal, misjärel stabiliseerub sellest veidi madalamal</w:t>
      </w:r>
      <w:r w:rsidR="00F600D4">
        <w:rPr>
          <w:bCs/>
        </w:rPr>
        <w:t>, kuid siiski 2022. aastast kõrgemal</w:t>
      </w:r>
      <w:r w:rsidRPr="00201619">
        <w:rPr>
          <w:bCs/>
        </w:rPr>
        <w:t xml:space="preserve"> tasemel. Kuni 2023. aastani (kaasa arvatud), saab kasutada veel 2014</w:t>
      </w:r>
      <w:r w:rsidR="005C246A" w:rsidRPr="00201619">
        <w:rPr>
          <w:bCs/>
        </w:rPr>
        <w:t>–</w:t>
      </w:r>
      <w:r w:rsidRPr="00201619">
        <w:rPr>
          <w:bCs/>
        </w:rPr>
        <w:t>2020 perioodi struktuurivahendeid, mida on võrreldes 2021. a</w:t>
      </w:r>
      <w:r w:rsidR="00714306">
        <w:rPr>
          <w:bCs/>
        </w:rPr>
        <w:t>asta</w:t>
      </w:r>
      <w:r w:rsidRPr="00201619">
        <w:rPr>
          <w:bCs/>
        </w:rPr>
        <w:t xml:space="preserve"> suveprognoosiga suurendatud, kuna senine kasutamine on olnud varem prognoositust aeglasem ja seetõttu on </w:t>
      </w:r>
      <w:r w:rsidR="00714306">
        <w:rPr>
          <w:bCs/>
        </w:rPr>
        <w:lastRenderedPageBreak/>
        <w:t xml:space="preserve">aastatel </w:t>
      </w:r>
      <w:r w:rsidRPr="00201619">
        <w:rPr>
          <w:bCs/>
        </w:rPr>
        <w:t>2022–2023 kasutamine suurem, kui eelmisel suvel eeldatud.</w:t>
      </w:r>
    </w:p>
    <w:p w14:paraId="68663290" w14:textId="7142C6C0" w:rsidR="00D540F8" w:rsidRPr="00201619" w:rsidRDefault="00D540F8" w:rsidP="00667CAF">
      <w:pPr>
        <w:pStyle w:val="Phitekst"/>
        <w:rPr>
          <w:bCs/>
        </w:rPr>
      </w:pPr>
      <w:r w:rsidRPr="00201619">
        <w:rPr>
          <w:bCs/>
        </w:rPr>
        <w:t>Aasta-aastalt hakkab jõudsalt suurenema 2021</w:t>
      </w:r>
      <w:r w:rsidR="00022BDA" w:rsidRPr="0049714C">
        <w:t>–</w:t>
      </w:r>
      <w:r w:rsidRPr="00201619">
        <w:rPr>
          <w:bCs/>
        </w:rPr>
        <w:t>2027 perioodi vahendite kasutamine. 2022. aastal on uue perioodi vahendite kasutamine küll madalam kui suveprognoosis eeldati, kuna läbirääkimised Euroopa Komisjoniga uue rakenduskava üle on võtnud oodatust kauem aega ning kava kinnitatakse lõplikult tõenäoliselt sügisel. Sellest tulenevalt on ka 2023. ja 2024. aastal 2021</w:t>
      </w:r>
      <w:r w:rsidR="00022BDA" w:rsidRPr="0049714C">
        <w:t>–</w:t>
      </w:r>
      <w:r w:rsidRPr="00201619">
        <w:rPr>
          <w:bCs/>
        </w:rPr>
        <w:t xml:space="preserve">2027 perioodi toetuste maht suurem kui suveprognoosis oodati, kuna osa vahendite kasutamine lükkub 2022. aastast edasi. </w:t>
      </w:r>
    </w:p>
    <w:p w14:paraId="33AEB8E5" w14:textId="1E4BDF6E" w:rsidR="00D540F8" w:rsidRPr="00201619" w:rsidRDefault="00D540F8" w:rsidP="00667CAF">
      <w:pPr>
        <w:pStyle w:val="Phitekst"/>
        <w:rPr>
          <w:bCs/>
        </w:rPr>
      </w:pPr>
      <w:r w:rsidRPr="00201619">
        <w:rPr>
          <w:bCs/>
        </w:rPr>
        <w:t xml:space="preserve">Lisaks on võrreldes suveprognoosiga vähenenud Rail Balticu prognoositav maht </w:t>
      </w:r>
      <w:r w:rsidR="00714306">
        <w:rPr>
          <w:bCs/>
        </w:rPr>
        <w:t xml:space="preserve">aastatel </w:t>
      </w:r>
      <w:r w:rsidRPr="00201619">
        <w:rPr>
          <w:bCs/>
        </w:rPr>
        <w:t>2023–2025 tulenevalt Rail Balticu investeeringute ajakava uuendamisest. Investeeringumahtude aastate</w:t>
      </w:r>
      <w:r w:rsidR="00714306">
        <w:rPr>
          <w:bCs/>
        </w:rPr>
        <w:t>-</w:t>
      </w:r>
      <w:r w:rsidRPr="00201619">
        <w:rPr>
          <w:bCs/>
        </w:rPr>
        <w:t>vahelist jaotust on ühtlustatud arvestades 2021</w:t>
      </w:r>
      <w:r w:rsidR="00022BDA" w:rsidRPr="0049714C">
        <w:t>–</w:t>
      </w:r>
      <w:r w:rsidRPr="00201619">
        <w:rPr>
          <w:bCs/>
        </w:rPr>
        <w:t>2027 perioodi Euroopa ühendamise rahastu määrust, tööplaani ja taotlusvoorude dokumente ning eeldatakse varem oodatust suuremaid investeeringuid prognoosiperioodi järel, alates 2027. aastast.</w:t>
      </w:r>
    </w:p>
    <w:bookmarkEnd w:id="110"/>
    <w:p w14:paraId="50F80953" w14:textId="77777777" w:rsidR="00D540F8" w:rsidRPr="00201619" w:rsidRDefault="00D540F8" w:rsidP="00667CAF">
      <w:pPr>
        <w:pStyle w:val="Phitekst"/>
        <w:rPr>
          <w:bCs/>
        </w:rPr>
      </w:pPr>
      <w:r w:rsidRPr="00201619">
        <w:rPr>
          <w:b/>
        </w:rPr>
        <w:t>Muude tulude</w:t>
      </w:r>
      <w:r w:rsidRPr="00201619">
        <w:rPr>
          <w:bCs/>
        </w:rPr>
        <w:t xml:space="preserve"> 2022. aasta laekumise prognoos jääb eelarvega võrreldes samale tasemele ehk 165 mln euro juurde. Siia gruppi kuuluvad tulud põhivara ja varude müügist (peamiselt riigimaa müük), trahvid ja muud varalised karistused, keskkonnatasud (tasud loodusressursside kasutamise eest ning saastetasud) ning muud tegevustulud (nt sunnirahad, konfiskeeritud varad ning muud eba</w:t>
      </w:r>
      <w:r w:rsidRPr="00201619">
        <w:rPr>
          <w:bCs/>
        </w:rPr>
        <w:softHyphen/>
        <w:t>tavalised tulud).</w:t>
      </w:r>
    </w:p>
    <w:p w14:paraId="0D6951B6" w14:textId="77777777" w:rsidR="00D540F8" w:rsidRPr="00201619" w:rsidRDefault="00D540F8" w:rsidP="00667CAF">
      <w:pPr>
        <w:pStyle w:val="Phitekst"/>
        <w:rPr>
          <w:bCs/>
        </w:rPr>
      </w:pPr>
      <w:r w:rsidRPr="00201619">
        <w:rPr>
          <w:b/>
        </w:rPr>
        <w:t>Finantstulude</w:t>
      </w:r>
      <w:r w:rsidRPr="00201619">
        <w:rPr>
          <w:bCs/>
        </w:rPr>
        <w:t xml:space="preserve"> 2022. aasta laekumise prognoosi suurendati võrreldes eelarve prognoosiga 34 mln euro võrra 142 mln eurole peamiselt täna Eesti Energia AS dividendide kasvule. Finantstulud koosnevad peamiselt omanikutuludest (dividendid ja Eesti Panga kasumieraldis), kuid ka Riigi</w:t>
      </w:r>
      <w:r w:rsidRPr="00201619">
        <w:rPr>
          <w:bCs/>
        </w:rPr>
        <w:softHyphen/>
        <w:t>kassale laekuvatest intressituludest. Peamised omanikutulu maksjad sel aastal on Eesti Energia AS, RMK, Riigi Kinnisvara AS, AS Tallinna Sadam ja AS Eesti Loto. Keeruliste majandusolude tõttu on oodata kasumite vähenemist, mis vähendab järgmise aasta dividenditulusid 91 mln euroni.</w:t>
      </w:r>
    </w:p>
    <w:p w14:paraId="568A90B7" w14:textId="00B07AF2" w:rsidR="00201619" w:rsidRPr="00667CAF" w:rsidRDefault="00201619" w:rsidP="00667CAF">
      <w:pPr>
        <w:pStyle w:val="Phitekst"/>
        <w:sectPr w:rsidR="00201619" w:rsidRPr="00667CAF" w:rsidSect="00DF7023">
          <w:endnotePr>
            <w:numFmt w:val="decimal"/>
          </w:endnotePr>
          <w:type w:val="continuous"/>
          <w:pgSz w:w="11906" w:h="16838"/>
          <w:pgMar w:top="964" w:right="964" w:bottom="964" w:left="964" w:header="709" w:footer="709" w:gutter="0"/>
          <w:cols w:num="2" w:space="708"/>
          <w:docGrid w:linePitch="360"/>
        </w:sectPr>
      </w:pPr>
    </w:p>
    <w:p w14:paraId="7A5B374A" w14:textId="7F5796BA" w:rsidR="00C74FB5" w:rsidRDefault="00C74FB5" w:rsidP="00C74FB5"/>
    <w:p w14:paraId="7590E90C" w14:textId="77777777" w:rsidR="00C74FB5" w:rsidRDefault="00C74FB5" w:rsidP="00C74FB5"/>
    <w:p w14:paraId="4452BB13" w14:textId="1864FED5" w:rsidR="00C74FB5" w:rsidRPr="00C74FB5" w:rsidRDefault="00C74FB5" w:rsidP="00C74FB5">
      <w:pPr>
        <w:sectPr w:rsidR="00C74FB5" w:rsidRPr="00C74FB5" w:rsidSect="0032671F">
          <w:endnotePr>
            <w:numFmt w:val="decimal"/>
          </w:endnotePr>
          <w:type w:val="continuous"/>
          <w:pgSz w:w="11906" w:h="16838"/>
          <w:pgMar w:top="964" w:right="964" w:bottom="964" w:left="964" w:header="709" w:footer="709" w:gutter="0"/>
          <w:cols w:space="708"/>
          <w:docGrid w:linePitch="360"/>
        </w:sectPr>
      </w:pPr>
    </w:p>
    <w:p w14:paraId="5378C2FD" w14:textId="6A11B4D2" w:rsidR="00A05E1B" w:rsidRPr="00CB17C3" w:rsidRDefault="00CF74C1" w:rsidP="00E66452">
      <w:pPr>
        <w:pStyle w:val="Pealkiri2"/>
        <w:jc w:val="both"/>
      </w:pPr>
      <w:bookmarkStart w:id="111" w:name="_Toc100230262"/>
      <w:r w:rsidRPr="00CB17C3">
        <w:t>VALITSUSSEKTORI KULUD</w:t>
      </w:r>
      <w:bookmarkEnd w:id="79"/>
      <w:r w:rsidR="00630E72">
        <w:t>E PROGNOOS</w:t>
      </w:r>
      <w:bookmarkEnd w:id="111"/>
    </w:p>
    <w:bookmarkEnd w:id="80"/>
    <w:bookmarkEnd w:id="81"/>
    <w:bookmarkEnd w:id="82"/>
    <w:p w14:paraId="42BEC707" w14:textId="77777777" w:rsidR="00D701E3" w:rsidRPr="005822EA" w:rsidRDefault="00D701E3" w:rsidP="00E66452">
      <w:pPr>
        <w:pStyle w:val="Alapunkt"/>
        <w:jc w:val="both"/>
        <w:rPr>
          <w:b/>
          <w:highlight w:val="yellow"/>
        </w:rPr>
        <w:sectPr w:rsidR="00D701E3" w:rsidRPr="005822EA" w:rsidSect="0032671F">
          <w:endnotePr>
            <w:numFmt w:val="decimal"/>
          </w:endnotePr>
          <w:type w:val="continuous"/>
          <w:pgSz w:w="11906" w:h="16838"/>
          <w:pgMar w:top="964" w:right="964" w:bottom="964" w:left="964" w:header="709" w:footer="709" w:gutter="0"/>
          <w:cols w:space="708"/>
          <w:docGrid w:linePitch="360"/>
        </w:sectPr>
      </w:pPr>
    </w:p>
    <w:p w14:paraId="7BFD690D" w14:textId="60133940" w:rsidR="00630E72" w:rsidRPr="005822EA" w:rsidRDefault="00104B3E" w:rsidP="00630E72">
      <w:pPr>
        <w:pStyle w:val="Alapunkt"/>
        <w:rPr>
          <w:b/>
          <w:szCs w:val="26"/>
        </w:rPr>
        <w:sectPr w:rsidR="00630E72" w:rsidRPr="005822EA" w:rsidSect="006E6E85">
          <w:footerReference w:type="default" r:id="rId28"/>
          <w:footerReference w:type="first" r:id="rId29"/>
          <w:endnotePr>
            <w:numFmt w:val="decimal"/>
          </w:endnotePr>
          <w:type w:val="continuous"/>
          <w:pgSz w:w="11906" w:h="16838"/>
          <w:pgMar w:top="964" w:right="964" w:bottom="964" w:left="964" w:header="709" w:footer="709" w:gutter="0"/>
          <w:cols w:space="708"/>
          <w:docGrid w:linePitch="360"/>
        </w:sectPr>
      </w:pPr>
      <w:r>
        <w:t>Kasvavad julgeoleku- ja riigikaitsekulud suurendavad riigi osatähtsust majanduses</w:t>
      </w:r>
    </w:p>
    <w:p w14:paraId="11731E21" w14:textId="276529DD" w:rsidR="00DB58EA" w:rsidRDefault="002F291E" w:rsidP="00C737CB">
      <w:pPr>
        <w:pStyle w:val="Phitekst"/>
      </w:pPr>
      <w:r w:rsidRPr="002F291E">
        <w:rPr>
          <w:rStyle w:val="Tugev"/>
        </w:rPr>
        <w:t>Valitsussektori kulude osakaal SKPst kasvab 2023. aastani, kuid jääb alla 2020. aasta erakorraliselt kõrgele tasemele.</w:t>
      </w:r>
      <w:r>
        <w:t xml:space="preserve"> </w:t>
      </w:r>
      <w:r w:rsidRPr="002F291E">
        <w:t>2020. aastal moodustasid Eesti valitsussektori kulud 45,9% SKPst, mis jääb 7,2 protsendipunkti</w:t>
      </w:r>
      <w:r w:rsidR="00022BDA">
        <w:t xml:space="preserve">ga alla </w:t>
      </w:r>
      <w:r w:rsidRPr="002F291E">
        <w:t>Euroopa Liidu keskmisele tasemele (vt</w:t>
      </w:r>
      <w:r w:rsidR="00CF1260">
        <w:t xml:space="preserve"> </w:t>
      </w:r>
      <w:r w:rsidR="00CF1260">
        <w:fldChar w:fldCharType="begin"/>
      </w:r>
      <w:r w:rsidR="00CF1260">
        <w:instrText xml:space="preserve"> REF _Ref100182344 \h </w:instrText>
      </w:r>
      <w:r w:rsidR="00CF1260">
        <w:fldChar w:fldCharType="separate"/>
      </w:r>
      <w:r w:rsidR="00CF1260">
        <w:t xml:space="preserve">Joonis </w:t>
      </w:r>
      <w:r w:rsidR="00CF1260">
        <w:rPr>
          <w:noProof/>
        </w:rPr>
        <w:t>15</w:t>
      </w:r>
      <w:r w:rsidR="00CF1260">
        <w:fldChar w:fldCharType="end"/>
      </w:r>
      <w:r w:rsidRPr="002F291E">
        <w:t xml:space="preserve">, </w:t>
      </w:r>
      <w:r w:rsidR="00CF1260">
        <w:t>L</w:t>
      </w:r>
      <w:r w:rsidRPr="002F291E">
        <w:t>isa 4). Peale kulude osakaalu vähenemist 2021. aastal kasvab 2023. aasta</w:t>
      </w:r>
      <w:r w:rsidR="00DB58EA">
        <w:t>ks</w:t>
      </w:r>
      <w:r w:rsidRPr="002F291E">
        <w:t xml:space="preserve"> kulude osakaal SKPs</w:t>
      </w:r>
      <w:r w:rsidR="00DB58EA">
        <w:t>t</w:t>
      </w:r>
      <w:r w:rsidRPr="002F291E">
        <w:t xml:space="preserve"> 43,6%ni (vt</w:t>
      </w:r>
      <w:r w:rsidR="00CF1260">
        <w:t xml:space="preserve"> </w:t>
      </w:r>
      <w:r w:rsidR="00CF1260">
        <w:fldChar w:fldCharType="begin"/>
      </w:r>
      <w:r w:rsidR="00CF1260">
        <w:instrText xml:space="preserve"> REF _Ref100182400 \h </w:instrText>
      </w:r>
      <w:r w:rsidR="00CF1260">
        <w:fldChar w:fldCharType="separate"/>
      </w:r>
      <w:r w:rsidR="00CF1260">
        <w:t xml:space="preserve">Joonis </w:t>
      </w:r>
      <w:r w:rsidR="00CF1260">
        <w:rPr>
          <w:noProof/>
        </w:rPr>
        <w:t>5</w:t>
      </w:r>
      <w:r w:rsidR="00CF1260">
        <w:fldChar w:fldCharType="end"/>
      </w:r>
      <w:r w:rsidRPr="002F291E">
        <w:t>), riigikaitse kulude lisapaketi, vanaduspensionide kasvu</w:t>
      </w:r>
      <w:r w:rsidR="00DB58EA" w:rsidRPr="00DB58EA">
        <w:t>, CO2 kvoodimüügi tuludest tehtavate kulude kasvu</w:t>
      </w:r>
      <w:r w:rsidRPr="002F291E">
        <w:t xml:space="preserve"> ja uuest rahastusperioodist tulenevate suuremahuliste tegevustoetuste ning investeeringute tõttu.</w:t>
      </w:r>
    </w:p>
    <w:p w14:paraId="69CA04E9" w14:textId="50F3775E" w:rsidR="00567525" w:rsidRDefault="00DB58EA" w:rsidP="00DB58EA">
      <w:pPr>
        <w:pStyle w:val="Phitekst"/>
      </w:pPr>
      <w:r w:rsidRPr="00DB58EA">
        <w:t>Kodumaiste ja välismaiste investeeringutoetuste ning kapitali kogumahutuse mahu vähenemise tõttu langeb alates 2024. aastast kulude osakaal SKPst kuni prognoosiperioodi lõpuni</w:t>
      </w:r>
      <w:r>
        <w:t xml:space="preserve">. </w:t>
      </w:r>
      <w:r w:rsidRPr="00DB58EA">
        <w:t>Alates 2024. aastast hakkab välisvahendite kasutamise aktiivsus langema, mis väljendub valitsemissektori saadud välistoetuste vähenemises -7,3% võrra 2024. aastal.</w:t>
      </w:r>
      <w:r w:rsidR="002F291E" w:rsidRPr="002F291E">
        <w:t xml:space="preserve"> </w:t>
      </w:r>
      <w:r w:rsidR="002F291E" w:rsidRPr="002F291E">
        <w:t>2026. aasta</w:t>
      </w:r>
      <w:r>
        <w:t>l on</w:t>
      </w:r>
      <w:r w:rsidR="002F291E" w:rsidRPr="002F291E">
        <w:t xml:space="preserve"> kulude osakaal SKPs</w:t>
      </w:r>
      <w:r w:rsidR="00B34CF5">
        <w:t>t</w:t>
      </w:r>
      <w:r w:rsidR="002F291E" w:rsidRPr="002F291E">
        <w:t xml:space="preserve"> 40,4%, </w:t>
      </w:r>
      <w:r w:rsidR="00B34CF5">
        <w:t>mis ületab</w:t>
      </w:r>
      <w:r w:rsidR="002F291E" w:rsidRPr="002F291E">
        <w:t xml:space="preserve"> kriisieelset </w:t>
      </w:r>
      <w:r w:rsidR="00EB325C">
        <w:t xml:space="preserve">ehk </w:t>
      </w:r>
      <w:r w:rsidR="002F291E" w:rsidRPr="002F291E">
        <w:t>2019. aasta taset peamiselt sotsiaalsiirete ja kapitali kogumahutuse suurema osakaalu tõttu SKPs</w:t>
      </w:r>
      <w:r w:rsidR="00B34CF5">
        <w:t>t</w:t>
      </w:r>
      <w:r w:rsidR="002F291E" w:rsidRPr="002F291E">
        <w:t xml:space="preserve"> (</w:t>
      </w:r>
      <w:r w:rsidR="00B34CF5">
        <w:fldChar w:fldCharType="begin"/>
      </w:r>
      <w:r w:rsidR="00B34CF5">
        <w:instrText xml:space="preserve"> REF _Ref100182400 \h </w:instrText>
      </w:r>
      <w:r w:rsidR="00B34CF5">
        <w:fldChar w:fldCharType="separate"/>
      </w:r>
      <w:r w:rsidR="00B34CF5">
        <w:t xml:space="preserve">Joonis </w:t>
      </w:r>
      <w:r w:rsidR="00B34CF5">
        <w:rPr>
          <w:noProof/>
        </w:rPr>
        <w:t>5</w:t>
      </w:r>
      <w:r w:rsidR="00B34CF5">
        <w:fldChar w:fldCharType="end"/>
      </w:r>
      <w:r w:rsidR="002F291E" w:rsidRPr="002F291E">
        <w:t>). Keskmine valitsussektori kulude kasv aastatel 2022</w:t>
      </w:r>
      <w:r w:rsidR="00B34CF5" w:rsidRPr="0049714C">
        <w:t>–</w:t>
      </w:r>
      <w:r w:rsidR="002F291E" w:rsidRPr="002F291E">
        <w:t xml:space="preserve">2026 on 4,1% aastas, jäädes alla nominaalse SKP 5,0%sele </w:t>
      </w:r>
      <w:r w:rsidR="00EB325C">
        <w:t xml:space="preserve">keskmisele </w:t>
      </w:r>
      <w:r w:rsidR="002F291E" w:rsidRPr="002F291E">
        <w:t>kasvule antud perioodil</w:t>
      </w:r>
      <w:r w:rsidR="008B4AC0" w:rsidRPr="008B4AC0">
        <w:t>.</w:t>
      </w:r>
    </w:p>
    <w:p w14:paraId="440EC5CF" w14:textId="1A5CF241" w:rsidR="00A20B33" w:rsidRPr="00486B68" w:rsidRDefault="00A20B33" w:rsidP="00A20B33">
      <w:pPr>
        <w:pStyle w:val="Pealdis"/>
      </w:pPr>
      <w:bookmarkStart w:id="112" w:name="_Ref100182400"/>
      <w:bookmarkStart w:id="113" w:name="_Toc100230274"/>
      <w:r>
        <w:t xml:space="preserve">Joonis </w:t>
      </w:r>
      <w:fldSimple w:instr=" SEQ Joonis \* ARABIC ">
        <w:r>
          <w:rPr>
            <w:noProof/>
          </w:rPr>
          <w:t>5</w:t>
        </w:r>
      </w:fldSimple>
      <w:bookmarkEnd w:id="112"/>
      <w:r>
        <w:t xml:space="preserve">. </w:t>
      </w:r>
      <w:r w:rsidRPr="00486B68">
        <w:t>Valitsussektori kogukulud (% SKPs) ja kulude aastane muutus</w:t>
      </w:r>
      <w:bookmarkEnd w:id="113"/>
    </w:p>
    <w:p w14:paraId="05C774FD" w14:textId="77777777" w:rsidR="00A20B33" w:rsidRDefault="00A20B33" w:rsidP="00A20B33">
      <w:pPr>
        <w:pStyle w:val="Phitekst"/>
        <w:keepNext/>
      </w:pPr>
      <w:r>
        <w:rPr>
          <w:noProof/>
        </w:rPr>
        <w:drawing>
          <wp:inline distT="0" distB="0" distL="0" distR="0" wp14:anchorId="4FDFB8C5" wp14:editId="54C03382">
            <wp:extent cx="2943225" cy="1574800"/>
            <wp:effectExtent l="0" t="0" r="0" b="6350"/>
            <wp:docPr id="4" name="Diagramm 4">
              <a:extLst xmlns:a="http://schemas.openxmlformats.org/drawingml/2006/main">
                <a:ext uri="{FF2B5EF4-FFF2-40B4-BE49-F238E27FC236}">
                  <a16:creationId xmlns:a16="http://schemas.microsoft.com/office/drawing/2014/main" id="{00000000-0008-0000-0100-00004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9A74FA" w14:textId="412E6445" w:rsidR="002F291E" w:rsidRDefault="002F291E" w:rsidP="00C737CB">
      <w:pPr>
        <w:pStyle w:val="Phitekst"/>
      </w:pPr>
      <w:r w:rsidRPr="002F291E">
        <w:rPr>
          <w:rStyle w:val="Tugev"/>
        </w:rPr>
        <w:t xml:space="preserve">2022. aastal panustavad valitsussektori kulude kasvu enim sotsiaalsiirded, kapitali kogumahutus </w:t>
      </w:r>
      <w:r w:rsidRPr="002F291E">
        <w:rPr>
          <w:rStyle w:val="Tugev"/>
        </w:rPr>
        <w:lastRenderedPageBreak/>
        <w:t>põhivarasse ja kapitalisiirded.</w:t>
      </w:r>
      <w:r w:rsidRPr="002F291E">
        <w:t xml:space="preserve"> Valitsussektori kulud kasvavad käesoleval aastal 1,18 miljardi euro võrra ehk kasvutempoga 9,1% aastas, millest suurima osatähtsusega on sotsiaalsiirded 355 miljoni euroga, kapitali kogumahutus 466 miljoni euroga ja kapitalisiirded 146 miljonit euroga. Neile järgneb hüvitised töötajatele suurenemine 119 miljoni euro võrra ja vahetarbimine 127 miljonit eurot.</w:t>
      </w:r>
      <w:r w:rsidR="00B34CF5">
        <w:t xml:space="preserve"> </w:t>
      </w:r>
      <w:r w:rsidR="00B34CF5" w:rsidRPr="00B34CF5">
        <w:t>Välistoetuseid kasutatakse ja vahendatakse valitsussektoris käesoleval aastal 402 miljoni euro võrra rohkem kui eelneval aastal, mistõttu kasvavad ka kapitali kogumahutus ja kapitalisiirded. Rahalistest sotsiaalsiiretest suurenevad käesoleval aastal riiklikud pensionid 14 miljonit eurot, töötuskindlustushüvitis ja toetus töölepingu kollektiivse ülesütlemise korral 76 miljonit eurot ning vanemahüvitis 63 miljonit eurot. Subsiidiumide tase püsib 2022. aastal kõrgem energiahinna toetusmeetmete tõttu. Kui 2021. aastal tõstsid subsiidiumeid töötuskindlustushüvitised ca 92 miljoni euro võrra, siis 2022. aastal on arvestatud gaasi ja elektri võrgutasude kompenseerimiseks ning ettevõtetele kaugkütte kõrge lõpphinna mõju vähendamiseks antud toetusteks 70 miljonit eurot.</w:t>
      </w:r>
    </w:p>
    <w:p w14:paraId="6D19955E" w14:textId="1EC08E61" w:rsidR="002F291E" w:rsidRDefault="002F291E" w:rsidP="00C737CB">
      <w:pPr>
        <w:pStyle w:val="Phitekst"/>
      </w:pPr>
      <w:r w:rsidRPr="002F291E">
        <w:rPr>
          <w:rStyle w:val="Tugev"/>
        </w:rPr>
        <w:t>Rahalised sotsiaalsiirded kasvavad prognoosi</w:t>
      </w:r>
      <w:r w:rsidR="00486B68">
        <w:rPr>
          <w:rStyle w:val="Tugev"/>
        </w:rPr>
        <w:softHyphen/>
      </w:r>
      <w:r w:rsidRPr="002F291E">
        <w:rPr>
          <w:rStyle w:val="Tugev"/>
        </w:rPr>
        <w:t>perioodil peamiselt vanaduspensioni, vanema</w:t>
      </w:r>
      <w:r w:rsidR="00486B68">
        <w:rPr>
          <w:rStyle w:val="Tugev"/>
        </w:rPr>
        <w:softHyphen/>
      </w:r>
      <w:r w:rsidRPr="002F291E">
        <w:rPr>
          <w:rStyle w:val="Tugev"/>
        </w:rPr>
        <w:t>hüvitise ja töövõimetoetuse suurenemise tõttu.</w:t>
      </w:r>
      <w:r w:rsidRPr="002F291E">
        <w:t xml:space="preserve"> </w:t>
      </w:r>
      <w:r w:rsidR="00B34CF5" w:rsidRPr="00B34CF5">
        <w:t>Ukraina sõjapõgenikega</w:t>
      </w:r>
      <w:r w:rsidR="00B34CF5">
        <w:t xml:space="preserve"> </w:t>
      </w:r>
      <w:r w:rsidRPr="002F291E">
        <w:t>seotud sotsiaaltoetusteks on 2022. aastal arvestatud 85 miljonit eurot, mis sisaldab  kulutusi ka tervishoiuteenustele, töötukassa teenustele ja ühekordsele üüritoetusele. Hilisemate aastate põgenikega seotud kulud on kohalike omavalitsuste prognoosides, mitte enam keskvalitsuse tasandil. 2022. aasta 1.</w:t>
      </w:r>
      <w:r w:rsidR="001E5438">
        <w:t> </w:t>
      </w:r>
      <w:r w:rsidRPr="002F291E">
        <w:t xml:space="preserve">aprillist jõustus vanemahüvitiste süsteemi reform, mille käigus tekkis õigus rohkematele puhkepäevadele, rasedus- ja sünnituspuhkus muutus ajutisest töövõimetusest emapuhkuseks ja tekkis uus vanemahüvitise liik lapsendajatele. Alates 2022. aasta 1. aprillist arvestatakse töövõimetoetust uute päevamäärade alusel ja kasvab sissetuleku ülempiir, millest arvates toetuse summat hakatakse vähendama. </w:t>
      </w:r>
      <w:r w:rsidR="00B34CF5">
        <w:t>A</w:t>
      </w:r>
      <w:r w:rsidR="00B34CF5" w:rsidRPr="00B34CF5">
        <w:t xml:space="preserve">lates </w:t>
      </w:r>
      <w:r w:rsidR="00B34CF5" w:rsidRPr="002F291E">
        <w:t>202</w:t>
      </w:r>
      <w:r w:rsidR="00CD3218">
        <w:t>3</w:t>
      </w:r>
      <w:r w:rsidR="00B34CF5" w:rsidRPr="002F291E">
        <w:t xml:space="preserve">. aastast </w:t>
      </w:r>
      <w:r w:rsidR="00B34CF5">
        <w:t>suureneb e</w:t>
      </w:r>
      <w:r w:rsidR="00B34CF5" w:rsidRPr="00B34CF5">
        <w:t xml:space="preserve">elpooltoodud seadusemuudatuste mõjul </w:t>
      </w:r>
      <w:r w:rsidRPr="002F291E">
        <w:t xml:space="preserve">töövõimetoetus </w:t>
      </w:r>
      <w:r w:rsidR="00B34CF5" w:rsidRPr="002F291E">
        <w:t xml:space="preserve">keskmiselt </w:t>
      </w:r>
      <w:r w:rsidRPr="002F291E">
        <w:t xml:space="preserve">30 miljonit eurot </w:t>
      </w:r>
      <w:r w:rsidR="00B34CF5" w:rsidRPr="002F291E">
        <w:t xml:space="preserve">aastas </w:t>
      </w:r>
      <w:r w:rsidRPr="002F291E">
        <w:t xml:space="preserve">ja vanemahüvitis </w:t>
      </w:r>
      <w:r w:rsidR="00B34CF5">
        <w:t xml:space="preserve">keskmiselt </w:t>
      </w:r>
      <w:r w:rsidRPr="002F291E">
        <w:t>25 miljonit eurot</w:t>
      </w:r>
      <w:r w:rsidR="00B34CF5">
        <w:t xml:space="preserve"> aastas</w:t>
      </w:r>
      <w:r w:rsidRPr="002F291E">
        <w:t xml:space="preserve">. 2023. aastal, mil </w:t>
      </w:r>
      <w:r w:rsidR="00B34CF5">
        <w:t>jõustub</w:t>
      </w:r>
      <w:r w:rsidRPr="002F291E">
        <w:t xml:space="preserve"> erakorraline pensionitõus, suurenevad riiklikud pensionid peaaegu 2 korda rohkem kui 2022. aastal, täpsemalt 276 miljonit eurot.</w:t>
      </w:r>
    </w:p>
    <w:p w14:paraId="5476F80C" w14:textId="2C3CC3D8" w:rsidR="00486B68" w:rsidRDefault="00486B68" w:rsidP="00486B68">
      <w:pPr>
        <w:pStyle w:val="Phitekst"/>
      </w:pPr>
      <w:r>
        <w:t>Valitsussektori tulude ja kulude prognoos on toodud lisas (vt</w:t>
      </w:r>
      <w:r w:rsidR="005D3C54">
        <w:t xml:space="preserve"> </w:t>
      </w:r>
      <w:r w:rsidR="005D3C54">
        <w:fldChar w:fldCharType="begin"/>
      </w:r>
      <w:r w:rsidR="005D3C54">
        <w:instrText xml:space="preserve"> REF _Ref81862905 \h </w:instrText>
      </w:r>
      <w:r w:rsidR="005D3C54">
        <w:fldChar w:fldCharType="separate"/>
      </w:r>
      <w:r w:rsidR="00636EBA" w:rsidRPr="00E748FA">
        <w:t xml:space="preserve">Tabel </w:t>
      </w:r>
      <w:r w:rsidR="00636EBA">
        <w:rPr>
          <w:noProof/>
        </w:rPr>
        <w:t>10</w:t>
      </w:r>
      <w:r w:rsidR="005D3C54">
        <w:fldChar w:fldCharType="end"/>
      </w:r>
      <w:r w:rsidR="00B34CF5">
        <w:t>,</w:t>
      </w:r>
      <w:r>
        <w:t xml:space="preserve"> </w:t>
      </w:r>
      <w:r w:rsidR="00B34CF5">
        <w:t>L</w:t>
      </w:r>
      <w:r>
        <w:t>isa 4).</w:t>
      </w:r>
    </w:p>
    <w:p w14:paraId="0F507934" w14:textId="7B5246DC" w:rsidR="00486B68" w:rsidRDefault="00486B68" w:rsidP="00486B68">
      <w:pPr>
        <w:pStyle w:val="Phitekst"/>
      </w:pPr>
      <w:r w:rsidRPr="00486B68">
        <w:rPr>
          <w:b/>
          <w:bCs/>
        </w:rPr>
        <w:t>Valitsussektori investeeringute osakaal SKPs on Eestis jätkuvalt kõrge.</w:t>
      </w:r>
      <w:r w:rsidRPr="00486B68">
        <w:t xml:space="preserve"> Valitsuse põhivarainvesteeringud</w:t>
      </w:r>
      <w:r>
        <w:rPr>
          <w:rStyle w:val="Lpumrkuseviide"/>
        </w:rPr>
        <w:endnoteReference w:id="4"/>
      </w:r>
      <w:r w:rsidRPr="00486B68">
        <w:t xml:space="preserve"> on perioodil 2001</w:t>
      </w:r>
      <w:r w:rsidR="00B34CF5" w:rsidRPr="0049714C">
        <w:t>–</w:t>
      </w:r>
      <w:r w:rsidRPr="00486B68">
        <w:t>2020 püsinud vahemikus 4</w:t>
      </w:r>
      <w:r w:rsidR="006531C8">
        <w:t>,4</w:t>
      </w:r>
      <w:r w:rsidRPr="00486B68">
        <w:t>-</w:t>
      </w:r>
      <w:r w:rsidR="006531C8">
        <w:t>6,3</w:t>
      </w:r>
      <w:r w:rsidRPr="00486B68">
        <w:t>% SKPst, mis on olnud keskmiselt 2,</w:t>
      </w:r>
      <w:r w:rsidR="006531C8">
        <w:t>1</w:t>
      </w:r>
      <w:r w:rsidRPr="00486B68">
        <w:t xml:space="preserve"> protsendipunkti võrra kõrgem kui Euroopa Liidu keskmine tase (vt</w:t>
      </w:r>
      <w:r w:rsidR="00CF1260">
        <w:t xml:space="preserve"> </w:t>
      </w:r>
      <w:r w:rsidR="00CF1260">
        <w:fldChar w:fldCharType="begin"/>
      </w:r>
      <w:r w:rsidR="00CF1260">
        <w:instrText xml:space="preserve"> REF _Ref100182442 \h </w:instrText>
      </w:r>
      <w:r w:rsidR="00CF1260">
        <w:fldChar w:fldCharType="separate"/>
      </w:r>
      <w:r w:rsidR="00CF1260">
        <w:t xml:space="preserve">Joonis </w:t>
      </w:r>
      <w:r w:rsidR="00CF1260">
        <w:rPr>
          <w:noProof/>
        </w:rPr>
        <w:t>6</w:t>
      </w:r>
      <w:r w:rsidR="00CF1260">
        <w:fldChar w:fldCharType="end"/>
      </w:r>
      <w:r w:rsidRPr="00486B68">
        <w:t>). Aastatel 2022</w:t>
      </w:r>
      <w:r w:rsidR="006531C8" w:rsidRPr="0049714C">
        <w:t>–</w:t>
      </w:r>
      <w:r w:rsidRPr="00486B68">
        <w:t>2026 on kapitali kogumahutuse osakaal keskmiselt 7,0% SKPst, kuid iga-aastane dünaamika sõltub valdavalt välisvahendite rakendamise suutlikkusest uuel rahastusperioodil ja erakorraliste kaitsekulutuste</w:t>
      </w:r>
      <w:r w:rsidR="006531C8">
        <w:t xml:space="preserve"> suuruse</w:t>
      </w:r>
      <w:r w:rsidRPr="00486B68">
        <w:t xml:space="preserve">st. </w:t>
      </w:r>
      <w:r w:rsidR="006531C8" w:rsidRPr="006531C8">
        <w:t xml:space="preserve">Aastatel 2022–2025 suurendavad </w:t>
      </w:r>
      <w:r w:rsidR="006531C8">
        <w:t>k</w:t>
      </w:r>
      <w:r w:rsidRPr="00486B68">
        <w:t>apitali kogumahutust erakorralised riigikaitsekulutused 691,7 miljoni euro võrra, kusjuures suurimad investeeringud riigikaitsesse tehakse 2024. ja 2025. aastal, vastavalt 286,2 ja 242,6 miljonit eurot.</w:t>
      </w:r>
      <w:r w:rsidR="003D205F">
        <w:t xml:space="preserve"> </w:t>
      </w:r>
      <w:r w:rsidR="003D205F" w:rsidRPr="003D205F">
        <w:t>Kapitali kogumahutuse osakaal jõuab aastaks 2023 uue perioodi välisvahendite ja kaitseotstarbeliste investeeringute tõttu 7,6%ni SKPst. Kui 2022. aastal kasutatakse  valitsussektoris välisvahenditest investeeringuteks 340,5 miljonit eurot, siis 2023. aastal investeeritakse ligi poolteist korda suurem summa ehk 544 miljonit eurot.</w:t>
      </w:r>
    </w:p>
    <w:p w14:paraId="24431D14" w14:textId="02B37DCA" w:rsidR="00A20B33" w:rsidRDefault="00A20B33" w:rsidP="00A20B33">
      <w:pPr>
        <w:pStyle w:val="Pealdis"/>
      </w:pPr>
      <w:bookmarkStart w:id="114" w:name="_Ref100182442"/>
      <w:bookmarkStart w:id="115" w:name="_Toc100230275"/>
      <w:r>
        <w:t xml:space="preserve">Joonis </w:t>
      </w:r>
      <w:fldSimple w:instr=" SEQ Joonis \* ARABIC ">
        <w:r>
          <w:rPr>
            <w:noProof/>
          </w:rPr>
          <w:t>6</w:t>
        </w:r>
      </w:fldSimple>
      <w:bookmarkEnd w:id="114"/>
      <w:r w:rsidR="000C04EE">
        <w:rPr>
          <w:noProof/>
        </w:rPr>
        <w:t>.</w:t>
      </w:r>
      <w:r>
        <w:t xml:space="preserve"> </w:t>
      </w:r>
      <w:r w:rsidRPr="00505CFC">
        <w:t>Valitsussektori põhivarainvesteeringud 2001-2026 (%SKPs)</w:t>
      </w:r>
      <w:bookmarkEnd w:id="115"/>
    </w:p>
    <w:p w14:paraId="3DBF4BDA" w14:textId="77777777" w:rsidR="00A20B33" w:rsidRPr="00505CFC" w:rsidRDefault="00A20B33" w:rsidP="00A20B33">
      <w:r>
        <w:rPr>
          <w:noProof/>
        </w:rPr>
        <w:drawing>
          <wp:inline distT="0" distB="0" distL="0" distR="0" wp14:anchorId="6ECDBDE3" wp14:editId="65FAA98B">
            <wp:extent cx="2943225" cy="1440180"/>
            <wp:effectExtent l="0" t="0" r="0" b="7620"/>
            <wp:docPr id="12" name="Diagramm 12">
              <a:extLst xmlns:a="http://schemas.openxmlformats.org/drawingml/2006/main">
                <a:ext uri="{FF2B5EF4-FFF2-40B4-BE49-F238E27FC236}">
                  <a16:creationId xmlns:a16="http://schemas.microsoft.com/office/drawing/2014/main" id="{00000000-0008-0000-0100-00002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7DC2CB7" w14:textId="7D0CCB5C" w:rsidR="00486B68" w:rsidRDefault="00486B68" w:rsidP="00486B68">
      <w:pPr>
        <w:pStyle w:val="Phitekst"/>
      </w:pPr>
      <w:r w:rsidRPr="00486B68">
        <w:rPr>
          <w:rStyle w:val="Tugev"/>
        </w:rPr>
        <w:t>Valitsussektori hüvitised töötajatele</w:t>
      </w:r>
      <w:r w:rsidRPr="00486B68">
        <w:t xml:space="preserve"> keskmine aastane kasv perioodil 2022</w:t>
      </w:r>
      <w:r w:rsidR="003D205F" w:rsidRPr="0049714C">
        <w:t>–</w:t>
      </w:r>
      <w:r w:rsidRPr="00486B68">
        <w:t>2026 on 2,9%, mis jääb alla riigi aastasele nominaalse palgafondi kasvutempole 5,1% ja keskmisele nominaalse SKP kasvule 5,0%. Valitsussektori hüvitised töötajatele, millest peamise osa moodustavad palgakulud, osatähtsus SKPs</w:t>
      </w:r>
      <w:r w:rsidR="003D205F">
        <w:t>t</w:t>
      </w:r>
      <w:r w:rsidRPr="00486B68">
        <w:t xml:space="preserve"> langeb 2022. aastal 10,8%lt 10,1%</w:t>
      </w:r>
      <w:r w:rsidR="003D205F">
        <w:t>le</w:t>
      </w:r>
      <w:r w:rsidRPr="00486B68">
        <w:t xml:space="preserve"> 2026. aastal. 2022. aastaks on langenud töötajatele makstavate hüvitiste osakaal SKPs</w:t>
      </w:r>
      <w:r w:rsidR="003D205F">
        <w:t>t</w:t>
      </w:r>
      <w:r w:rsidRPr="00486B68">
        <w:t xml:space="preserve"> kriisieelsele ehk 2019. aasta tasemele. Hüvitised töötajatele näitaja hõlmab ka erijuhtudel riigi poolt makstavat sotsiaalmaksu, päevarahasid, riigisaladusega seotud kulusid, eripensioneid, täiendavaid </w:t>
      </w:r>
      <w:proofErr w:type="spellStart"/>
      <w:r w:rsidRPr="00486B68">
        <w:t>kogumispensionimakseid</w:t>
      </w:r>
      <w:proofErr w:type="spellEnd"/>
      <w:r w:rsidRPr="00486B68">
        <w:t xml:space="preserve"> ja </w:t>
      </w:r>
      <w:r w:rsidRPr="00486B68">
        <w:lastRenderedPageBreak/>
        <w:t>töötuskindlustus-hüvitistelt arvestatud sotsiaalmaksu.</w:t>
      </w:r>
    </w:p>
    <w:p w14:paraId="4D662BA5" w14:textId="585CD299" w:rsidR="00486B68" w:rsidRDefault="003D205F" w:rsidP="00486B68">
      <w:pPr>
        <w:pStyle w:val="Phitekst"/>
      </w:pPr>
      <w:r w:rsidRPr="003D205F">
        <w:rPr>
          <w:rStyle w:val="Tugev"/>
        </w:rPr>
        <w:t xml:space="preserve">Sotsiaalne kaitse on valitsussektori kuludest suurim funktsioon </w:t>
      </w:r>
      <w:proofErr w:type="spellStart"/>
      <w:r w:rsidRPr="003D205F">
        <w:rPr>
          <w:rStyle w:val="Tugev"/>
        </w:rPr>
        <w:t>COFOGi</w:t>
      </w:r>
      <w:proofErr w:type="spellEnd"/>
      <w:r w:rsidRPr="003D205F">
        <w:rPr>
          <w:rStyle w:val="Tugev"/>
        </w:rPr>
        <w:t xml:space="preserve"> jaotuse järgi. Sotsiaalne kaitse moodustas 2020. aastal 15,0% SKPst, millest umbes pool oli seotud vanaduspensionidega. </w:t>
      </w:r>
      <w:r>
        <w:rPr>
          <w:rStyle w:val="Tugev"/>
        </w:rPr>
        <w:t xml:space="preserve"> </w:t>
      </w:r>
      <w:r w:rsidR="00486B68" w:rsidRPr="00486B68">
        <w:t>Prognoosi kohaselt kasvavad riiklikud pensionikulud aastatel 2022</w:t>
      </w:r>
      <w:r w:rsidRPr="0049714C">
        <w:t>–</w:t>
      </w:r>
      <w:r w:rsidR="00486B68" w:rsidRPr="00486B68">
        <w:t>2026 8,5% aastas, mis tuleneb sotsiaalmaksu laekumisest, pensionide erakorralisest tõusust 20 euro võrra alates 2023. aasta algusest</w:t>
      </w:r>
      <w:r>
        <w:t xml:space="preserve"> </w:t>
      </w:r>
      <w:r w:rsidRPr="003D205F">
        <w:t>ning sotsiaalmaksu pensioniosa</w:t>
      </w:r>
      <w:r w:rsidR="00486B68" w:rsidRPr="00486B68">
        <w:t xml:space="preserve"> ja tarbijahinnaindeksi muutusest sõltuvast pensioniindeksi kasvust. Sotsiaalse kaitse kulude tase, mis langes 2021. aastal 13,6%ni SKPs</w:t>
      </w:r>
      <w:r w:rsidR="003163D3">
        <w:t>t</w:t>
      </w:r>
      <w:r w:rsidR="00486B68" w:rsidRPr="00486B68">
        <w:t>, kasvab 2023. aastal vanaduspensionide kasvu tõttu 14,</w:t>
      </w:r>
      <w:r>
        <w:t>0</w:t>
      </w:r>
      <w:r w:rsidR="00486B68" w:rsidRPr="00486B68">
        <w:t>%</w:t>
      </w:r>
      <w:r>
        <w:t>le</w:t>
      </w:r>
      <w:r w:rsidR="00486B68" w:rsidRPr="00486B68">
        <w:t xml:space="preserve"> SKPs</w:t>
      </w:r>
      <w:r w:rsidR="003163D3">
        <w:t>t</w:t>
      </w:r>
      <w:r w:rsidR="00486B68" w:rsidRPr="00486B68">
        <w:t>.</w:t>
      </w:r>
    </w:p>
    <w:p w14:paraId="7B324334" w14:textId="67BD28FF" w:rsidR="00486B68" w:rsidRDefault="00486B68" w:rsidP="00486B68">
      <w:pPr>
        <w:pStyle w:val="Phitekst"/>
      </w:pPr>
      <w:r w:rsidRPr="00486B68">
        <w:rPr>
          <w:rStyle w:val="Tugev"/>
        </w:rPr>
        <w:t>Tervishoiukulude osakaal SKPs hakkab 2021. aastast langema.</w:t>
      </w:r>
      <w:r w:rsidRPr="00486B68">
        <w:t xml:space="preserve"> Seoses COVID pandeemiast tingitud kulude vähenemisega langeb tervishoiukulude osatähtsus 2021. aastaks 6,4%ni </w:t>
      </w:r>
      <w:r w:rsidRPr="00486B68">
        <w:t>SKPs</w:t>
      </w:r>
      <w:r w:rsidR="003163D3">
        <w:t>t</w:t>
      </w:r>
      <w:r w:rsidRPr="00486B68">
        <w:t>, kuid püsib prognoosiperioodi lõpuni keskmiselt tasemel 6,</w:t>
      </w:r>
      <w:r w:rsidR="001C3FEE">
        <w:t>3</w:t>
      </w:r>
      <w:r w:rsidRPr="00486B68">
        <w:t>% SKPs</w:t>
      </w:r>
      <w:r w:rsidR="003163D3">
        <w:t>t</w:t>
      </w:r>
      <w:r w:rsidRPr="00486B68">
        <w:t xml:space="preserve">, kuna </w:t>
      </w:r>
      <w:r w:rsidR="001C3FEE">
        <w:t xml:space="preserve">prognoositav nominaalse </w:t>
      </w:r>
      <w:r w:rsidRPr="00486B68">
        <w:t>SKP kasv jääb alla tervisesüsteemi rahastamiseks vajalike kulutuste kasvule. 2020. aastal ulatusid tervishoiukulud 6,7%ni SKPs</w:t>
      </w:r>
      <w:r w:rsidR="00B14E66">
        <w:t>t</w:t>
      </w:r>
      <w:r w:rsidRPr="00486B68">
        <w:t>, mis on kõrgeim tase alates 1995. aastast alates.</w:t>
      </w:r>
    </w:p>
    <w:p w14:paraId="3C4083B6" w14:textId="35EFF5BE" w:rsidR="00486B68" w:rsidRDefault="00486B68" w:rsidP="00486B68">
      <w:pPr>
        <w:pStyle w:val="Phitekst"/>
      </w:pPr>
      <w:r w:rsidRPr="00486B68">
        <w:rPr>
          <w:rStyle w:val="Tugev"/>
        </w:rPr>
        <w:t>Riigikaitse kulude osakaal SKPs</w:t>
      </w:r>
      <w:r w:rsidR="00B14E66">
        <w:rPr>
          <w:rStyle w:val="Tugev"/>
        </w:rPr>
        <w:t>t</w:t>
      </w:r>
      <w:r w:rsidRPr="00486B68">
        <w:rPr>
          <w:rStyle w:val="Tugev"/>
        </w:rPr>
        <w:t xml:space="preserve"> kasvab kahe kaitsekulude paketi tõttu.</w:t>
      </w:r>
      <w:r w:rsidRPr="00486B68">
        <w:t xml:space="preserve"> 2024. aastaks kasvavad riigikaitse kulud 2,9%</w:t>
      </w:r>
      <w:r w:rsidR="001C3FEE">
        <w:t>le</w:t>
      </w:r>
      <w:r w:rsidRPr="00486B68">
        <w:t xml:space="preserve"> SKPs</w:t>
      </w:r>
      <w:r w:rsidR="00B14E66">
        <w:t>t</w:t>
      </w:r>
      <w:r w:rsidRPr="00486B68">
        <w:t>. Kokku planeeritakse riigikaitse tugevdamiseks perioodil 2022</w:t>
      </w:r>
      <w:r w:rsidR="001C3FEE" w:rsidRPr="0049714C">
        <w:t>–</w:t>
      </w:r>
      <w:r w:rsidRPr="00486B68">
        <w:t xml:space="preserve">2025 </w:t>
      </w:r>
      <w:r w:rsidR="001C3FEE">
        <w:t xml:space="preserve">eraldada </w:t>
      </w:r>
      <w:r w:rsidRPr="00486B68">
        <w:t xml:space="preserve">816,3 miljonit eurot, kusjuures suuremad kulutused tehakse riigikaitse lisapaketist 2024. ja 2025. aastal, vastavalt 338 ja 244 miljonit eurot. </w:t>
      </w:r>
      <w:r w:rsidRPr="00486B68">
        <w:rPr>
          <w:rStyle w:val="Tugev"/>
        </w:rPr>
        <w:t>Avaliku korra ja julgeoleku kuludeks</w:t>
      </w:r>
      <w:r w:rsidRPr="00486B68">
        <w:t xml:space="preserve"> on perioodil 2022</w:t>
      </w:r>
      <w:r w:rsidR="001C3FEE" w:rsidRPr="0049714C">
        <w:t>–</w:t>
      </w:r>
      <w:r w:rsidRPr="00486B68">
        <w:t>2025 lisatud 32,6 miljonit eurot käesoleva aasta jaanuaris eraldatud 384 miljoni suurusest erakorraliste kulutuste paketist.</w:t>
      </w:r>
    </w:p>
    <w:p w14:paraId="43B42317" w14:textId="3E506AC9" w:rsidR="00630E72" w:rsidRDefault="00486B68" w:rsidP="00A20B33">
      <w:pPr>
        <w:pStyle w:val="Phitekst"/>
        <w:rPr>
          <w:rStyle w:val="Tugev"/>
          <w:b w:val="0"/>
          <w:bCs w:val="0"/>
        </w:rPr>
      </w:pPr>
      <w:bookmarkStart w:id="116" w:name="_Hlk100220565"/>
      <w:r w:rsidRPr="00486B68">
        <w:t>Valitsussektori kulude prognoos funktsioonide järgi on</w:t>
      </w:r>
      <w:r w:rsidR="001C3FEE">
        <w:t xml:space="preserve"> toodud</w:t>
      </w:r>
      <w:r w:rsidRPr="00486B68">
        <w:t xml:space="preserve"> lisas (vt</w:t>
      </w:r>
      <w:r w:rsidR="005D3C54">
        <w:t xml:space="preserve"> </w:t>
      </w:r>
      <w:r w:rsidR="005D3C54">
        <w:fldChar w:fldCharType="begin"/>
      </w:r>
      <w:r w:rsidR="005D3C54">
        <w:instrText xml:space="preserve"> REF _Ref68188476 \h </w:instrText>
      </w:r>
      <w:r w:rsidR="005D3C54">
        <w:fldChar w:fldCharType="separate"/>
      </w:r>
      <w:r w:rsidR="002F2507" w:rsidRPr="00291948">
        <w:t xml:space="preserve">Tabel </w:t>
      </w:r>
      <w:r w:rsidR="002F2507">
        <w:rPr>
          <w:noProof/>
        </w:rPr>
        <w:t>11</w:t>
      </w:r>
      <w:r w:rsidR="005D3C54">
        <w:fldChar w:fldCharType="end"/>
      </w:r>
      <w:r w:rsidRPr="00486B68">
        <w:t xml:space="preserve"> ja</w:t>
      </w:r>
      <w:r w:rsidR="002F2507">
        <w:t xml:space="preserve"> </w:t>
      </w:r>
      <w:r w:rsidR="002F2507">
        <w:fldChar w:fldCharType="begin"/>
      </w:r>
      <w:r w:rsidR="002F2507">
        <w:instrText xml:space="preserve"> REF _Ref100181970 \h </w:instrText>
      </w:r>
      <w:r w:rsidR="002F2507">
        <w:fldChar w:fldCharType="separate"/>
      </w:r>
      <w:r w:rsidR="002F2507">
        <w:t xml:space="preserve">Joonis </w:t>
      </w:r>
      <w:r w:rsidR="002F2507">
        <w:rPr>
          <w:noProof/>
        </w:rPr>
        <w:t>16</w:t>
      </w:r>
      <w:r w:rsidR="002F2507">
        <w:fldChar w:fldCharType="end"/>
      </w:r>
      <w:r w:rsidR="00CF1260">
        <w:t>,</w:t>
      </w:r>
      <w:r w:rsidRPr="00486B68">
        <w:t xml:space="preserve"> </w:t>
      </w:r>
      <w:r w:rsidR="00CF1260">
        <w:t>L</w:t>
      </w:r>
      <w:r w:rsidRPr="00486B68">
        <w:t>isa 4).</w:t>
      </w:r>
    </w:p>
    <w:bookmarkEnd w:id="116"/>
    <w:p w14:paraId="14CA2DD3" w14:textId="77777777" w:rsidR="006C721E" w:rsidRPr="005822EA" w:rsidRDefault="006C721E" w:rsidP="006A5CB8">
      <w:pPr>
        <w:pStyle w:val="Phitekst"/>
        <w:rPr>
          <w:highlight w:val="yellow"/>
        </w:rPr>
        <w:sectPr w:rsidR="006C721E" w:rsidRPr="005822EA" w:rsidSect="00007B50">
          <w:footerReference w:type="default" r:id="rId32"/>
          <w:endnotePr>
            <w:numFmt w:val="decimal"/>
          </w:endnotePr>
          <w:type w:val="continuous"/>
          <w:pgSz w:w="11906" w:h="16838"/>
          <w:pgMar w:top="964" w:right="964" w:bottom="964" w:left="964" w:header="709" w:footer="709" w:gutter="0"/>
          <w:cols w:num="2" w:space="708"/>
          <w:docGrid w:linePitch="360"/>
        </w:sectPr>
      </w:pPr>
    </w:p>
    <w:p w14:paraId="3AAE4D2E" w14:textId="77777777" w:rsidR="00BF4084" w:rsidRDefault="00BF4084" w:rsidP="00E66452">
      <w:pPr>
        <w:pStyle w:val="Pealkiri2"/>
        <w:jc w:val="both"/>
        <w:sectPr w:rsidR="00BF4084" w:rsidSect="006E6E85">
          <w:footerReference w:type="default" r:id="rId33"/>
          <w:footerReference w:type="first" r:id="rId34"/>
          <w:endnotePr>
            <w:numFmt w:val="decimal"/>
          </w:endnotePr>
          <w:type w:val="continuous"/>
          <w:pgSz w:w="11906" w:h="16838"/>
          <w:pgMar w:top="964" w:right="964" w:bottom="964" w:left="964" w:header="709" w:footer="709" w:gutter="0"/>
          <w:cols w:space="708"/>
          <w:docGrid w:linePitch="360"/>
        </w:sectPr>
      </w:pPr>
      <w:bookmarkStart w:id="117" w:name="_Toc62631854"/>
      <w:bookmarkStart w:id="118" w:name="_Toc64504574"/>
    </w:p>
    <w:p w14:paraId="36708C9E" w14:textId="1804815F" w:rsidR="00F83E16" w:rsidRPr="005822EA" w:rsidRDefault="00F83E16" w:rsidP="00E66452">
      <w:pPr>
        <w:pStyle w:val="Pealkiri2"/>
        <w:jc w:val="both"/>
      </w:pPr>
      <w:bookmarkStart w:id="119" w:name="_Toc100230263"/>
      <w:r w:rsidRPr="005822EA">
        <w:lastRenderedPageBreak/>
        <w:t>VALITSUSSEKTORI FINANTSEERIMINE</w:t>
      </w:r>
      <w:bookmarkEnd w:id="117"/>
      <w:bookmarkEnd w:id="118"/>
      <w:bookmarkEnd w:id="119"/>
    </w:p>
    <w:p w14:paraId="2EBB59BD" w14:textId="56B8369A" w:rsidR="00630E72" w:rsidRDefault="00BF4084" w:rsidP="00BF4084">
      <w:pPr>
        <w:pStyle w:val="Alapunkt"/>
      </w:pPr>
      <w:r>
        <w:t>Võlakoormus kasvab, rahavooline puudujääk kaetakse võlakirjade ja laenude abil</w:t>
      </w:r>
      <w:r w:rsidR="00630E72" w:rsidRPr="005822EA">
        <w:t>.</w:t>
      </w:r>
    </w:p>
    <w:p w14:paraId="58CEB933" w14:textId="50721CFF" w:rsidR="000164D8" w:rsidRPr="005822EA" w:rsidRDefault="000164D8" w:rsidP="00BF4084">
      <w:pPr>
        <w:pStyle w:val="Alapunkt"/>
        <w:rPr>
          <w:b/>
          <w:szCs w:val="26"/>
        </w:rPr>
        <w:sectPr w:rsidR="000164D8" w:rsidRPr="005822EA" w:rsidSect="00BF4084">
          <w:endnotePr>
            <w:numFmt w:val="decimal"/>
          </w:endnotePr>
          <w:pgSz w:w="11906" w:h="16838"/>
          <w:pgMar w:top="964" w:right="964" w:bottom="964" w:left="964" w:header="709" w:footer="709" w:gutter="0"/>
          <w:cols w:space="708"/>
          <w:docGrid w:linePitch="360"/>
        </w:sectPr>
      </w:pPr>
    </w:p>
    <w:p w14:paraId="714E05EF" w14:textId="6CF62006" w:rsidR="00B955EC" w:rsidRPr="00D324A4" w:rsidRDefault="00BF4084" w:rsidP="007D5EB5">
      <w:pPr>
        <w:pStyle w:val="Phitekst"/>
        <w:rPr>
          <w:b/>
        </w:rPr>
      </w:pPr>
      <w:r w:rsidRPr="00D324A4">
        <w:rPr>
          <w:b/>
        </w:rPr>
        <w:t>Riigi rahavoog</w:t>
      </w:r>
      <w:r w:rsidRPr="00D324A4">
        <w:rPr>
          <w:bCs/>
        </w:rPr>
        <w:t xml:space="preserve"> on kogu prognoosiperioodi vältel negatiivne. Valitsussektori netopositsioon ehk võla ja reservide taseme vahe suureneb </w:t>
      </w:r>
      <w:r w:rsidR="00B14E66" w:rsidRPr="00D324A4">
        <w:rPr>
          <w:bCs/>
        </w:rPr>
        <w:t xml:space="preserve">tänavu </w:t>
      </w:r>
      <w:r w:rsidR="000164D8" w:rsidRPr="00D324A4">
        <w:t xml:space="preserve">3,8 </w:t>
      </w:r>
      <w:r w:rsidRPr="00D324A4">
        <w:t>protsendipunkti võrra</w:t>
      </w:r>
      <w:r w:rsidRPr="00D324A4">
        <w:rPr>
          <w:b/>
        </w:rPr>
        <w:t xml:space="preserve"> </w:t>
      </w:r>
      <w:r w:rsidRPr="00D324A4">
        <w:rPr>
          <w:bCs/>
        </w:rPr>
        <w:t>(vt</w:t>
      </w:r>
      <w:r w:rsidR="00CF1260">
        <w:rPr>
          <w:bCs/>
        </w:rPr>
        <w:t xml:space="preserve"> </w:t>
      </w:r>
      <w:r w:rsidR="00CF1260">
        <w:rPr>
          <w:bCs/>
        </w:rPr>
        <w:fldChar w:fldCharType="begin"/>
      </w:r>
      <w:r w:rsidR="00CF1260">
        <w:rPr>
          <w:bCs/>
        </w:rPr>
        <w:instrText xml:space="preserve"> REF _Ref100182544 \h </w:instrText>
      </w:r>
      <w:r w:rsidR="00CF1260">
        <w:rPr>
          <w:bCs/>
        </w:rPr>
      </w:r>
      <w:r w:rsidR="00CF1260">
        <w:rPr>
          <w:bCs/>
        </w:rPr>
        <w:fldChar w:fldCharType="separate"/>
      </w:r>
      <w:r w:rsidR="00CF1260">
        <w:t xml:space="preserve">Joonis </w:t>
      </w:r>
      <w:r w:rsidR="00CF1260">
        <w:rPr>
          <w:noProof/>
        </w:rPr>
        <w:t>7</w:t>
      </w:r>
      <w:r w:rsidR="00CF1260">
        <w:rPr>
          <w:bCs/>
        </w:rPr>
        <w:fldChar w:fldCharType="end"/>
      </w:r>
      <w:r w:rsidRPr="00D324A4">
        <w:rPr>
          <w:bCs/>
        </w:rPr>
        <w:t xml:space="preserve">) ning halveneb negatiivse rahavoo survel </w:t>
      </w:r>
      <w:r w:rsidR="00B14E66">
        <w:rPr>
          <w:bCs/>
        </w:rPr>
        <w:t>ka järgmistel aastatel</w:t>
      </w:r>
      <w:r w:rsidRPr="00D324A4">
        <w:rPr>
          <w:bCs/>
        </w:rPr>
        <w:t>. Käesolev prognoos ei arvesta eelarvereeglitest tuleneva kärpevajaduse mõjuga riigi rahavoole, kuna reegli</w:t>
      </w:r>
      <w:r w:rsidR="00B14E66">
        <w:rPr>
          <w:bCs/>
        </w:rPr>
        <w:t xml:space="preserve">te kehtivus peatati </w:t>
      </w:r>
      <w:r w:rsidRPr="00D324A4">
        <w:rPr>
          <w:bCs/>
        </w:rPr>
        <w:t xml:space="preserve">kriisi tõttu Euroopa Liidu üleselt üle-eelmisel aastal. Kevadprognoosi kohaselt on sel aastal riigieelarve positsioon nominaalses puudujäägis ning ka rahavoog kokku negatiivne eelkõige pingelise geopoliitilise olukorra ja sellest tulenevate mõju tõttu, millega riigi kulutused suurenevad. Lisaks riigieelarve positsioonile võetakse arvesse ka teisi tegureid, mille tõttu on rahavoog riigieelarve teenindamisest kokku negatiivne. </w:t>
      </w:r>
      <w:r w:rsidRPr="00D324A4">
        <w:rPr>
          <w:b/>
        </w:rPr>
        <w:t>Põhiliselt tuleneb negatiivne rahavoog läbi kolme teguri: riigieelarve defitsiidi, riigikassa poolt tagasimakstava laenu suuruse ning muude kohanduste.</w:t>
      </w:r>
    </w:p>
    <w:p w14:paraId="6999F008" w14:textId="3E8AB1B9" w:rsidR="00BF4084" w:rsidRPr="007D5EB5" w:rsidRDefault="00BF4084" w:rsidP="007D5EB5">
      <w:pPr>
        <w:pStyle w:val="Phitekst"/>
        <w:rPr>
          <w:rStyle w:val="RhutusChar"/>
          <w:rFonts w:asciiTheme="minorHAnsi" w:hAnsiTheme="minorHAnsi"/>
          <w:b w:val="0"/>
          <w:sz w:val="22"/>
        </w:rPr>
      </w:pPr>
      <w:r w:rsidRPr="007D5EB5">
        <w:rPr>
          <w:rStyle w:val="Tugev"/>
        </w:rPr>
        <w:t xml:space="preserve">Riigieelarve negatiivset rahavoogu </w:t>
      </w:r>
      <w:r w:rsidR="00350EC2">
        <w:rPr>
          <w:rStyle w:val="Tugev"/>
        </w:rPr>
        <w:t xml:space="preserve">aastatel </w:t>
      </w:r>
      <w:r w:rsidRPr="007D5EB5">
        <w:rPr>
          <w:rStyle w:val="Tugev"/>
        </w:rPr>
        <w:t>2022</w:t>
      </w:r>
      <w:r w:rsidR="001C3FEE" w:rsidRPr="001C3FEE">
        <w:rPr>
          <w:rStyle w:val="Tugev"/>
        </w:rPr>
        <w:t>–</w:t>
      </w:r>
      <w:r w:rsidRPr="007D5EB5">
        <w:rPr>
          <w:rStyle w:val="Tugev"/>
        </w:rPr>
        <w:t>2026 rahastatakse lühi- ja pikaajaliste võlakirjaemissioonide ning uute laenude abil.</w:t>
      </w:r>
    </w:p>
    <w:p w14:paraId="150E318D" w14:textId="20752A00" w:rsidR="00BF4084" w:rsidRDefault="00BF62EB" w:rsidP="00BF62EB">
      <w:pPr>
        <w:pStyle w:val="Pealdis"/>
      </w:pPr>
      <w:bookmarkStart w:id="120" w:name="_Ref100182544"/>
      <w:bookmarkStart w:id="121" w:name="_Toc5215314"/>
      <w:bookmarkStart w:id="122" w:name="_Toc82084279"/>
      <w:bookmarkStart w:id="123" w:name="_Ref99983378"/>
      <w:bookmarkStart w:id="124" w:name="_Toc100230276"/>
      <w:r>
        <w:t xml:space="preserve">Joonis </w:t>
      </w:r>
      <w:fldSimple w:instr=" SEQ Joonis \* ARABIC ">
        <w:r w:rsidR="005B7ED1">
          <w:rPr>
            <w:noProof/>
          </w:rPr>
          <w:t>7</w:t>
        </w:r>
      </w:fldSimple>
      <w:bookmarkEnd w:id="120"/>
      <w:r w:rsidR="00BF4084">
        <w:t>. Valitsussektori likviidsed varad, võlakoormus ja netopositsioon</w:t>
      </w:r>
      <w:bookmarkEnd w:id="121"/>
      <w:r w:rsidR="00BF4084">
        <w:t xml:space="preserve"> (%</w:t>
      </w:r>
      <w:r w:rsidR="00350EC2">
        <w:t xml:space="preserve"> </w:t>
      </w:r>
      <w:r w:rsidR="00BF4084">
        <w:t>SKPst)</w:t>
      </w:r>
      <w:bookmarkEnd w:id="122"/>
      <w:bookmarkEnd w:id="123"/>
      <w:bookmarkEnd w:id="124"/>
    </w:p>
    <w:p w14:paraId="575F4B04" w14:textId="65DCA354" w:rsidR="005B7ED1" w:rsidRDefault="001C3FEE" w:rsidP="00BF4084">
      <w:pPr>
        <w:jc w:val="both"/>
        <w:rPr>
          <w:b/>
          <w:bCs/>
          <w:lang w:val="en-US"/>
        </w:rPr>
      </w:pPr>
      <w:r>
        <w:rPr>
          <w:noProof/>
        </w:rPr>
        <w:drawing>
          <wp:inline distT="0" distB="0" distL="0" distR="0" wp14:anchorId="5C72B18B" wp14:editId="344C6524">
            <wp:extent cx="2943225" cy="2198370"/>
            <wp:effectExtent l="0" t="0" r="0" b="0"/>
            <wp:docPr id="7" name="Diagramm 7">
              <a:extLst xmlns:a="http://schemas.openxmlformats.org/drawingml/2006/main">
                <a:ext uri="{FF2B5EF4-FFF2-40B4-BE49-F238E27FC236}">
                  <a16:creationId xmlns:a16="http://schemas.microsoft.com/office/drawing/2014/main" id="{00000000-0008-0000-01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C8F9B8E" w14:textId="6A31BDA2" w:rsidR="00BF4084" w:rsidRDefault="00BF4084" w:rsidP="00BF4084">
      <w:pPr>
        <w:jc w:val="both"/>
        <w:rPr>
          <w:highlight w:val="yellow"/>
        </w:rPr>
      </w:pPr>
      <w:r>
        <w:rPr>
          <w:rStyle w:val="MrkusChar"/>
        </w:rPr>
        <w:t>Allikad: Rahandusministeerium, Eesti Statistikaamet</w:t>
      </w:r>
    </w:p>
    <w:p w14:paraId="5DFABE62" w14:textId="754A2C9C" w:rsidR="00BF4084" w:rsidRPr="00D324A4" w:rsidRDefault="00BF4084" w:rsidP="00D324A4">
      <w:pPr>
        <w:pStyle w:val="Phitekst"/>
        <w:rPr>
          <w:bCs/>
        </w:rPr>
      </w:pPr>
      <w:r w:rsidRPr="00D324A4">
        <w:rPr>
          <w:bCs/>
        </w:rPr>
        <w:t>Eesti valitsussektori võlg 2021. aastal küll nominaalselt suurenes (+437 mln), kuid osakaaluna SKPst vähenes 0,9 protsendipunkti võrra. Nii riigi kui ka kohalike omavalitsuste võlakoormus kasvas eelmisel aastal (vt</w:t>
      </w:r>
      <w:r w:rsidR="002F2507">
        <w:rPr>
          <w:bCs/>
        </w:rPr>
        <w:t xml:space="preserve"> </w:t>
      </w:r>
      <w:r w:rsidR="002F2507">
        <w:rPr>
          <w:bCs/>
        </w:rPr>
        <w:fldChar w:fldCharType="begin"/>
      </w:r>
      <w:r w:rsidR="002F2507">
        <w:rPr>
          <w:bCs/>
        </w:rPr>
        <w:instrText xml:space="preserve"> REF _Ref100182185 \h </w:instrText>
      </w:r>
      <w:r w:rsidR="002F2507">
        <w:rPr>
          <w:bCs/>
        </w:rPr>
      </w:r>
      <w:r w:rsidR="002F2507">
        <w:rPr>
          <w:bCs/>
        </w:rPr>
        <w:fldChar w:fldCharType="separate"/>
      </w:r>
      <w:r w:rsidR="002F2507">
        <w:t xml:space="preserve">Tabel </w:t>
      </w:r>
      <w:r w:rsidR="002F2507">
        <w:rPr>
          <w:noProof/>
        </w:rPr>
        <w:t>17</w:t>
      </w:r>
      <w:r w:rsidR="002F2507">
        <w:rPr>
          <w:bCs/>
        </w:rPr>
        <w:fldChar w:fldCharType="end"/>
      </w:r>
      <w:r w:rsidR="002F2507">
        <w:rPr>
          <w:bCs/>
        </w:rPr>
        <w:t>, Lisa 4</w:t>
      </w:r>
      <w:r w:rsidRPr="00D324A4">
        <w:rPr>
          <w:bCs/>
        </w:rPr>
        <w:t xml:space="preserve">). Põhiline osa võla kasvust tulenes Riigikassa poolt möödunud aastal </w:t>
      </w:r>
      <w:r w:rsidRPr="00D324A4">
        <w:rPr>
          <w:bCs/>
        </w:rPr>
        <w:t>võetud täiendavatest võlakohustustest</w:t>
      </w:r>
      <w:r w:rsidR="00350EC2">
        <w:rPr>
          <w:bCs/>
        </w:rPr>
        <w:t>,</w:t>
      </w:r>
      <w:r w:rsidRPr="00D324A4">
        <w:rPr>
          <w:bCs/>
        </w:rPr>
        <w:t xml:space="preserve"> sealhulgas laenud (CEB, </w:t>
      </w:r>
      <w:r w:rsidR="001C3FEE" w:rsidRPr="00CC21D8">
        <w:rPr>
          <w:bCs/>
        </w:rPr>
        <w:t>TERA</w:t>
      </w:r>
      <w:r w:rsidR="001C3FEE" w:rsidRPr="00CC21D8">
        <w:rPr>
          <w:rStyle w:val="Lpumrkuseviide"/>
          <w:bCs/>
        </w:rPr>
        <w:endnoteReference w:id="5"/>
      </w:r>
      <w:r w:rsidRPr="00D324A4">
        <w:rPr>
          <w:bCs/>
        </w:rPr>
        <w:t>) ja lühiajaliste võlakirjade (</w:t>
      </w:r>
      <w:proofErr w:type="spellStart"/>
      <w:r w:rsidRPr="00D324A4">
        <w:rPr>
          <w:bCs/>
        </w:rPr>
        <w:t>t-bill</w:t>
      </w:r>
      <w:proofErr w:type="spellEnd"/>
      <w:r w:rsidRPr="00D324A4">
        <w:rPr>
          <w:bCs/>
        </w:rPr>
        <w:t>) emissioon. Negatiivse rahavoo survel suureneb võlatase sel aastal nominaalselt ja ka võlakoormus tõuseb 19,</w:t>
      </w:r>
      <w:r w:rsidR="000164D8" w:rsidRPr="00D324A4">
        <w:rPr>
          <w:bCs/>
        </w:rPr>
        <w:t>2</w:t>
      </w:r>
      <w:r w:rsidRPr="00D324A4">
        <w:rPr>
          <w:bCs/>
        </w:rPr>
        <w:t xml:space="preserve">%ni SKPst. </w:t>
      </w:r>
      <w:r w:rsidR="00B955EC" w:rsidRPr="00D324A4">
        <w:rPr>
          <w:bCs/>
        </w:rPr>
        <w:t>J</w:t>
      </w:r>
      <w:r w:rsidRPr="00D324A4">
        <w:rPr>
          <w:bCs/>
        </w:rPr>
        <w:t xml:space="preserve">ärgnevatel aastatel võlakoormus kasvab ja küündib prognoosiperioodi lõpus </w:t>
      </w:r>
      <w:r w:rsidR="000164D8" w:rsidRPr="00D324A4">
        <w:rPr>
          <w:bCs/>
        </w:rPr>
        <w:t>27</w:t>
      </w:r>
      <w:r w:rsidRPr="00D324A4">
        <w:rPr>
          <w:bCs/>
        </w:rPr>
        <w:t>,</w:t>
      </w:r>
      <w:r w:rsidR="000164D8" w:rsidRPr="00D324A4">
        <w:rPr>
          <w:bCs/>
        </w:rPr>
        <w:t>1</w:t>
      </w:r>
      <w:r w:rsidRPr="00D324A4">
        <w:rPr>
          <w:bCs/>
        </w:rPr>
        <w:t>%</w:t>
      </w:r>
      <w:r w:rsidR="00350EC2">
        <w:rPr>
          <w:bCs/>
        </w:rPr>
        <w:t>ni</w:t>
      </w:r>
      <w:r w:rsidRPr="00D324A4">
        <w:rPr>
          <w:bCs/>
        </w:rPr>
        <w:t xml:space="preserve"> SKPst.</w:t>
      </w:r>
    </w:p>
    <w:p w14:paraId="77668B77" w14:textId="24FCA8CB" w:rsidR="00BF4084" w:rsidRPr="00D324A4" w:rsidRDefault="00BF4084" w:rsidP="00D324A4">
      <w:pPr>
        <w:pStyle w:val="Phitekst"/>
        <w:rPr>
          <w:bCs/>
        </w:rPr>
      </w:pPr>
      <w:r w:rsidRPr="00D324A4">
        <w:rPr>
          <w:bCs/>
        </w:rPr>
        <w:t xml:space="preserve">Samuti on </w:t>
      </w:r>
      <w:r w:rsidR="00771277" w:rsidRPr="004859A1">
        <w:rPr>
          <w:bCs/>
        </w:rPr>
        <w:t>(</w:t>
      </w:r>
      <w:r w:rsidR="002F2507" w:rsidRPr="00D324A4">
        <w:rPr>
          <w:bCs/>
        </w:rPr>
        <w:t>vt</w:t>
      </w:r>
      <w:r w:rsidR="002F2507">
        <w:rPr>
          <w:bCs/>
        </w:rPr>
        <w:t xml:space="preserve"> </w:t>
      </w:r>
      <w:r w:rsidR="002F2507">
        <w:rPr>
          <w:bCs/>
        </w:rPr>
        <w:fldChar w:fldCharType="begin"/>
      </w:r>
      <w:r w:rsidR="002F2507">
        <w:rPr>
          <w:bCs/>
        </w:rPr>
        <w:instrText xml:space="preserve"> REF _Ref100182071 \h </w:instrText>
      </w:r>
      <w:r w:rsidR="002F2507">
        <w:rPr>
          <w:bCs/>
        </w:rPr>
      </w:r>
      <w:r w:rsidR="002F2507">
        <w:rPr>
          <w:bCs/>
        </w:rPr>
        <w:fldChar w:fldCharType="separate"/>
      </w:r>
      <w:r w:rsidR="002F2507">
        <w:t xml:space="preserve">Tabel </w:t>
      </w:r>
      <w:r w:rsidR="002F2507">
        <w:rPr>
          <w:noProof/>
        </w:rPr>
        <w:t>16</w:t>
      </w:r>
      <w:r w:rsidR="002F2507">
        <w:rPr>
          <w:bCs/>
        </w:rPr>
        <w:fldChar w:fldCharType="end"/>
      </w:r>
      <w:r w:rsidR="00A351C5" w:rsidRPr="004859A1">
        <w:rPr>
          <w:bCs/>
        </w:rPr>
        <w:t>, Lisa 4</w:t>
      </w:r>
      <w:r w:rsidR="00716C16" w:rsidRPr="004859A1">
        <w:rPr>
          <w:bCs/>
        </w:rPr>
        <w:t>)</w:t>
      </w:r>
      <w:r w:rsidR="00771277" w:rsidRPr="00D324A4">
        <w:rPr>
          <w:bCs/>
        </w:rPr>
        <w:t xml:space="preserve"> </w:t>
      </w:r>
      <w:r w:rsidRPr="00D324A4">
        <w:rPr>
          <w:bCs/>
        </w:rPr>
        <w:t xml:space="preserve">välja toodud keskvalitsuse tasemel konsolideeritud võlg nii kodumaise kui ka välisvõla osas, arvestades tehingud, mis on seotud valitsemissektori allsektoritega (sh kohustuste muutused). Riigi poolt võetud võlakohustused olid </w:t>
      </w:r>
      <w:r w:rsidR="001C3FEE">
        <w:rPr>
          <w:bCs/>
        </w:rPr>
        <w:t xml:space="preserve">tänavu </w:t>
      </w:r>
      <w:r w:rsidR="001B6B82" w:rsidRPr="00D324A4">
        <w:rPr>
          <w:bCs/>
        </w:rPr>
        <w:t xml:space="preserve">märtsi </w:t>
      </w:r>
      <w:r w:rsidRPr="00D324A4">
        <w:rPr>
          <w:bCs/>
        </w:rPr>
        <w:t>lõpu seisuga kokku 3,62 miljardit eurot, millest 1,90 mld (52%) moodustasid emiteeritud lühi-</w:t>
      </w:r>
      <w:r w:rsidR="00350EC2">
        <w:rPr>
          <w:bCs/>
        </w:rPr>
        <w:t xml:space="preserve"> </w:t>
      </w:r>
      <w:r w:rsidRPr="00D324A4">
        <w:rPr>
          <w:bCs/>
        </w:rPr>
        <w:t>ja pikaajalised võlakirjad ning ülejäänud 1,72 mld (48%) võetud laenud. Käesoleval aastal on kavas kasutada lisaks laenurahale ka lühi- ja pikaajalisi võlakirju. Keskvalitsuse panus valitsussektori võlakoormusesse prognoosi</w:t>
      </w:r>
      <w:r w:rsidRPr="00D324A4">
        <w:rPr>
          <w:bCs/>
        </w:rPr>
        <w:softHyphen/>
        <w:t xml:space="preserve">perioodi jooksul suureneb </w:t>
      </w:r>
      <w:r w:rsidR="000164D8" w:rsidRPr="00D324A4">
        <w:rPr>
          <w:bCs/>
        </w:rPr>
        <w:t>9</w:t>
      </w:r>
      <w:r w:rsidRPr="00D324A4">
        <w:rPr>
          <w:bCs/>
        </w:rPr>
        <w:t xml:space="preserve"> protsendipunkti</w:t>
      </w:r>
      <w:r w:rsidR="00350EC2">
        <w:rPr>
          <w:bCs/>
        </w:rPr>
        <w:t xml:space="preserve"> </w:t>
      </w:r>
      <w:r w:rsidRPr="00D324A4">
        <w:rPr>
          <w:bCs/>
        </w:rPr>
        <w:t xml:space="preserve">ning jõuab </w:t>
      </w:r>
      <w:r w:rsidR="007A581E" w:rsidRPr="00D324A4">
        <w:rPr>
          <w:bCs/>
        </w:rPr>
        <w:t xml:space="preserve">2026. </w:t>
      </w:r>
      <w:r w:rsidRPr="00D324A4">
        <w:rPr>
          <w:bCs/>
        </w:rPr>
        <w:t xml:space="preserve">aastaks </w:t>
      </w:r>
      <w:r w:rsidR="000164D8" w:rsidRPr="00D324A4">
        <w:rPr>
          <w:bCs/>
        </w:rPr>
        <w:t>24</w:t>
      </w:r>
      <w:r w:rsidRPr="00D324A4">
        <w:rPr>
          <w:bCs/>
        </w:rPr>
        <w:t xml:space="preserve">% </w:t>
      </w:r>
      <w:r w:rsidR="007A581E" w:rsidRPr="00D324A4">
        <w:rPr>
          <w:bCs/>
        </w:rPr>
        <w:t xml:space="preserve">SKPst </w:t>
      </w:r>
      <w:r w:rsidRPr="00D324A4">
        <w:rPr>
          <w:bCs/>
        </w:rPr>
        <w:t>taseme lähedale.</w:t>
      </w:r>
    </w:p>
    <w:p w14:paraId="34015A94" w14:textId="0BE4468C" w:rsidR="00BF4084" w:rsidRDefault="00BF4084" w:rsidP="00D324A4">
      <w:pPr>
        <w:pStyle w:val="Phitekst"/>
        <w:rPr>
          <w:bCs/>
        </w:rPr>
      </w:pPr>
      <w:r w:rsidRPr="00D324A4">
        <w:rPr>
          <w:bCs/>
        </w:rPr>
        <w:t xml:space="preserve">Kohalike omavalitsuste võlatase </w:t>
      </w:r>
      <w:r w:rsidR="00350EC2" w:rsidRPr="00D324A4">
        <w:rPr>
          <w:bCs/>
        </w:rPr>
        <w:t xml:space="preserve">kasvab </w:t>
      </w:r>
      <w:r w:rsidRPr="00D324A4">
        <w:rPr>
          <w:bCs/>
        </w:rPr>
        <w:t>järgnevatel aastatel seoses vajadusega finantseerida negatiivset raha</w:t>
      </w:r>
      <w:r w:rsidRPr="00D324A4">
        <w:rPr>
          <w:bCs/>
        </w:rPr>
        <w:softHyphen/>
        <w:t>voogu. Laenukoormus tõuseb prognoosiperioodi lõpuks üle miljardi euro, jõudes 3,4% juurde SKPst.</w:t>
      </w:r>
    </w:p>
    <w:p w14:paraId="0499066C" w14:textId="77777777" w:rsidR="00A27C8D" w:rsidRPr="00A27C8D" w:rsidRDefault="00A27C8D" w:rsidP="00A27C8D">
      <w:pPr>
        <w:pStyle w:val="Phitekst"/>
        <w:rPr>
          <w:bCs/>
        </w:rPr>
      </w:pPr>
      <w:r w:rsidRPr="00A27C8D">
        <w:rPr>
          <w:rStyle w:val="Tugev"/>
        </w:rPr>
        <w:t>Sotsiaalkindlustusfondid ehk Töötukassa ja Haigekassa</w:t>
      </w:r>
      <w:r w:rsidRPr="00A27C8D">
        <w:rPr>
          <w:bCs/>
        </w:rPr>
        <w:t xml:space="preserve"> Eesti võlakoormusesse ei panusta.</w:t>
      </w:r>
    </w:p>
    <w:p w14:paraId="32FCAD78" w14:textId="4DEC945B" w:rsidR="00BF4084" w:rsidRDefault="00BF4084" w:rsidP="00BF4084">
      <w:pPr>
        <w:pStyle w:val="Pealdis"/>
      </w:pPr>
      <w:bookmarkStart w:id="125" w:name="_Toc5215315"/>
      <w:bookmarkStart w:id="126" w:name="_Toc82084280"/>
      <w:bookmarkStart w:id="127" w:name="_Toc100230277"/>
      <w:r>
        <w:t xml:space="preserve">Joonis </w:t>
      </w:r>
      <w:fldSimple w:instr=" SEQ Joonis \* ARABIC ">
        <w:r w:rsidR="005B7ED1">
          <w:rPr>
            <w:noProof/>
          </w:rPr>
          <w:t>8</w:t>
        </w:r>
      </w:fldSimple>
      <w:r>
        <w:t>. Keskvalitsuse võla tagasimaksed</w:t>
      </w:r>
      <w:bookmarkEnd w:id="125"/>
      <w:bookmarkEnd w:id="126"/>
      <w:bookmarkEnd w:id="127"/>
    </w:p>
    <w:p w14:paraId="229795EF" w14:textId="1292D5DB" w:rsidR="00BF4084" w:rsidRDefault="005B7ED1" w:rsidP="00BF4084">
      <w:pPr>
        <w:pStyle w:val="Phitekst"/>
        <w:rPr>
          <w:highlight w:val="yellow"/>
        </w:rPr>
      </w:pPr>
      <w:r>
        <w:rPr>
          <w:noProof/>
        </w:rPr>
        <w:drawing>
          <wp:inline distT="0" distB="0" distL="0" distR="0" wp14:anchorId="2622F59F" wp14:editId="26359E0B">
            <wp:extent cx="2925295" cy="2095608"/>
            <wp:effectExtent l="0" t="0" r="8890" b="0"/>
            <wp:docPr id="11" name="Diagramm 11">
              <a:extLst xmlns:a="http://schemas.openxmlformats.org/drawingml/2006/main">
                <a:ext uri="{FF2B5EF4-FFF2-40B4-BE49-F238E27FC236}">
                  <a16:creationId xmlns:a16="http://schemas.microsoft.com/office/drawing/2014/main" id="{00000000-0008-0000-01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C5FB44A" w14:textId="77777777" w:rsidR="00BF4084" w:rsidRDefault="00BF4084" w:rsidP="00BF4084">
      <w:pPr>
        <w:pStyle w:val="Mrkus"/>
        <w:jc w:val="both"/>
        <w:rPr>
          <w:sz w:val="20"/>
          <w:szCs w:val="20"/>
        </w:rPr>
      </w:pPr>
      <w:r>
        <w:rPr>
          <w:sz w:val="20"/>
          <w:szCs w:val="20"/>
        </w:rPr>
        <w:t>Allikas: Rahandusministeerium</w:t>
      </w:r>
    </w:p>
    <w:p w14:paraId="466CE977" w14:textId="77777777" w:rsidR="00BF4084" w:rsidRDefault="00BF4084" w:rsidP="00BF4084">
      <w:pPr>
        <w:spacing w:after="0"/>
        <w:rPr>
          <w:rFonts w:cstheme="minorHAnsi"/>
        </w:rPr>
        <w:sectPr w:rsidR="00BF4084">
          <w:endnotePr>
            <w:numFmt w:val="decimal"/>
          </w:endnotePr>
          <w:type w:val="continuous"/>
          <w:pgSz w:w="11906" w:h="16838"/>
          <w:pgMar w:top="964" w:right="964" w:bottom="964" w:left="964" w:header="709" w:footer="709" w:gutter="0"/>
          <w:cols w:num="2" w:space="708"/>
        </w:sectPr>
      </w:pPr>
    </w:p>
    <w:p w14:paraId="0ABA52E6" w14:textId="77777777" w:rsidR="006926DE" w:rsidRDefault="006926DE" w:rsidP="00BF4084">
      <w:pPr>
        <w:spacing w:after="0"/>
      </w:pPr>
      <w:bookmarkStart w:id="128" w:name="_Ref507415603"/>
      <w:bookmarkStart w:id="129" w:name="_Toc511317460"/>
      <w:bookmarkStart w:id="130" w:name="_Toc4502660"/>
      <w:bookmarkStart w:id="131" w:name="_Toc82084234"/>
    </w:p>
    <w:bookmarkEnd w:id="128"/>
    <w:bookmarkEnd w:id="129"/>
    <w:bookmarkEnd w:id="130"/>
    <w:bookmarkEnd w:id="131"/>
    <w:p w14:paraId="70E6DB33" w14:textId="77777777" w:rsidR="00201039" w:rsidRDefault="00201039" w:rsidP="00BF4084">
      <w:pPr>
        <w:spacing w:after="0"/>
      </w:pPr>
    </w:p>
    <w:p w14:paraId="4A457ADA" w14:textId="77777777" w:rsidR="00592E1C" w:rsidRDefault="00592E1C" w:rsidP="00BF4084">
      <w:pPr>
        <w:spacing w:after="0"/>
        <w:rPr>
          <w:b/>
          <w:i/>
          <w:highlight w:val="yellow"/>
        </w:rPr>
        <w:sectPr w:rsidR="00592E1C">
          <w:endnotePr>
            <w:numFmt w:val="decimal"/>
          </w:endnotePr>
          <w:type w:val="continuous"/>
          <w:pgSz w:w="11906" w:h="16838"/>
          <w:pgMar w:top="964" w:right="964" w:bottom="964" w:left="964" w:header="709" w:footer="709" w:gutter="0"/>
          <w:cols w:space="708"/>
        </w:sectPr>
      </w:pPr>
    </w:p>
    <w:p w14:paraId="282B6FB7" w14:textId="5EF1EC6C" w:rsidR="00BF4084" w:rsidRPr="00C16840" w:rsidRDefault="00BF4084" w:rsidP="00BF4084">
      <w:pPr>
        <w:pStyle w:val="Phitekst"/>
        <w:rPr>
          <w:bCs/>
        </w:rPr>
      </w:pPr>
      <w:r w:rsidRPr="00C16840">
        <w:rPr>
          <w:b/>
        </w:rPr>
        <w:t>Prognoosiperioodi jooksul hoitakse keskvalitsuse tasemel vajalikku likviidsuspuhvrit rahavoogude teenindamiseks.</w:t>
      </w:r>
      <w:r w:rsidRPr="00C16840">
        <w:rPr>
          <w:bCs/>
        </w:rPr>
        <w:t xml:space="preserve"> Kõik laenatud raha on paigutatud likviidsusreservi, mis parandasid mullu Riigikassa likviidsust. Riigikassa võla moodustavad muuhulgas </w:t>
      </w:r>
      <w:proofErr w:type="spellStart"/>
      <w:r w:rsidR="008E3DC8">
        <w:rPr>
          <w:bCs/>
        </w:rPr>
        <w:t>TERA</w:t>
      </w:r>
      <w:r w:rsidR="00350EC2">
        <w:rPr>
          <w:bCs/>
        </w:rPr>
        <w:t>-lt</w:t>
      </w:r>
      <w:proofErr w:type="spellEnd"/>
      <w:r w:rsidRPr="00C16840">
        <w:rPr>
          <w:bCs/>
        </w:rPr>
        <w:t xml:space="preserve"> saadud laenuvahendid ning samuti </w:t>
      </w:r>
      <w:r w:rsidR="00350EC2">
        <w:rPr>
          <w:bCs/>
        </w:rPr>
        <w:t xml:space="preserve">nii </w:t>
      </w:r>
      <w:r w:rsidRPr="00C16840">
        <w:rPr>
          <w:bCs/>
        </w:rPr>
        <w:t>lühiajaline kui ka pikaajaline võlakirjaemissioon.</w:t>
      </w:r>
    </w:p>
    <w:p w14:paraId="25697C53" w14:textId="799E52FF" w:rsidR="00BF4084" w:rsidRPr="00C16840" w:rsidRDefault="00BF4084" w:rsidP="00BF4084">
      <w:pPr>
        <w:pStyle w:val="Phitekst"/>
        <w:rPr>
          <w:bCs/>
        </w:rPr>
      </w:pPr>
      <w:r w:rsidRPr="00C16840">
        <w:rPr>
          <w:bCs/>
        </w:rPr>
        <w:t xml:space="preserve">Prognoosi kohaselt vähenevad käesoleval aastal keskvalitsuse, sotsiaalkindlustusfondide (Haigekassa, Töötukassa) ja </w:t>
      </w:r>
      <w:r w:rsidR="00B955EC" w:rsidRPr="00C16840">
        <w:rPr>
          <w:bCs/>
        </w:rPr>
        <w:t xml:space="preserve">samuti </w:t>
      </w:r>
      <w:r w:rsidRPr="00C16840">
        <w:rPr>
          <w:bCs/>
        </w:rPr>
        <w:t>ka kohalike omavalitsuste reservid.</w:t>
      </w:r>
    </w:p>
    <w:p w14:paraId="5AD34282" w14:textId="6B094B5F" w:rsidR="00BF4084" w:rsidRPr="00C16840" w:rsidRDefault="00BF4084" w:rsidP="00BF4084">
      <w:pPr>
        <w:pStyle w:val="Phitekst"/>
        <w:rPr>
          <w:bCs/>
        </w:rPr>
      </w:pPr>
      <w:r w:rsidRPr="00C16840">
        <w:rPr>
          <w:b/>
        </w:rPr>
        <w:t>Järgnevatel aastatel on ette näha valitsussektori reservide taseme stabiliseerumist, sealjuures hoiab riik vajalikku likviidsuse sihttaset, et tagada riigi kohustuste õigeaegset täitmist.</w:t>
      </w:r>
      <w:r w:rsidRPr="00C16840">
        <w:rPr>
          <w:bCs/>
        </w:rPr>
        <w:t xml:space="preserve"> Riigieelarve negatiivset rahavoogu rahastatakse esmalt likviid</w:t>
      </w:r>
      <w:r w:rsidR="00A87E2C">
        <w:rPr>
          <w:bCs/>
        </w:rPr>
        <w:t>s</w:t>
      </w:r>
      <w:r w:rsidRPr="00C16840">
        <w:rPr>
          <w:bCs/>
        </w:rPr>
        <w:t>usreservi arvelt, mille hulgas on juba eelnevalt kaasatud lisavahendid. Prognoosiperioodi lõpus</w:t>
      </w:r>
      <w:r w:rsidR="00811A30">
        <w:rPr>
          <w:bCs/>
        </w:rPr>
        <w:t xml:space="preserve"> ehk</w:t>
      </w:r>
      <w:r w:rsidRPr="00C16840">
        <w:rPr>
          <w:bCs/>
        </w:rPr>
        <w:t xml:space="preserve"> 2026. aastal moodustavad valitsussektori reservid 6,8% SKPst.</w:t>
      </w:r>
    </w:p>
    <w:p w14:paraId="75AB6491" w14:textId="5E9D60F7" w:rsidR="00BF4084" w:rsidRPr="00C16840" w:rsidRDefault="00BF4084" w:rsidP="009A5840">
      <w:pPr>
        <w:pStyle w:val="Phitekst"/>
        <w:rPr>
          <w:bCs/>
        </w:rPr>
      </w:pPr>
      <w:r w:rsidRPr="00C16840">
        <w:rPr>
          <w:bCs/>
        </w:rPr>
        <w:t>2021. aasta lõpus ulatusid keskvalitsuse reservid</w:t>
      </w:r>
      <w:r w:rsidRPr="00B86847">
        <w:rPr>
          <w:bCs/>
          <w:vertAlign w:val="superscript"/>
        </w:rPr>
        <w:endnoteReference w:id="6"/>
      </w:r>
      <w:r w:rsidRPr="00C16840">
        <w:rPr>
          <w:bCs/>
        </w:rPr>
        <w:t xml:space="preserve"> 1,8 mld euroni ehk 5,9%ni SKPst. Arvestuse kohaselt koosnevad keskvalitsuse reservid nii Riigikassa hallatavatest reservidest (sh stabiliseerimisreserv ning likviidsusreserv ilma sotsiaalkindlustus</w:t>
      </w:r>
      <w:r w:rsidR="00811A30">
        <w:rPr>
          <w:bCs/>
        </w:rPr>
        <w:softHyphen/>
      </w:r>
      <w:r w:rsidRPr="00C16840">
        <w:rPr>
          <w:bCs/>
        </w:rPr>
        <w:t>fondideta) kui ka muude asutuste likviidsetest vahenditest.</w:t>
      </w:r>
    </w:p>
    <w:p w14:paraId="4B3E0BBB" w14:textId="7C2DDF54" w:rsidR="00BF4084" w:rsidRPr="00C16840" w:rsidRDefault="00BF4084" w:rsidP="00BF4084">
      <w:pPr>
        <w:pStyle w:val="Phitekst"/>
        <w:rPr>
          <w:bCs/>
        </w:rPr>
      </w:pPr>
      <w:r w:rsidRPr="00C16840">
        <w:rPr>
          <w:b/>
        </w:rPr>
        <w:t>Stabiliseerimisreserv on finantsreserv kriisiolukordadeks, mida kasutatakse näiteks finantskriisides, eriolukordades ja üldmajanduslike riskide vähendamiseks.</w:t>
      </w:r>
      <w:r w:rsidRPr="00C16840">
        <w:rPr>
          <w:bCs/>
        </w:rPr>
        <w:t xml:space="preserve"> Stabiliseerimisreservi tulusus oli rahaturu negatiivsete intressimäärade tõttu 2021. aastal </w:t>
      </w:r>
      <w:r w:rsidRPr="00C16840">
        <w:rPr>
          <w:bCs/>
        </w:rPr>
        <w:noBreakHyphen/>
        <w:t>0,61%</w:t>
      </w:r>
      <w:r w:rsidR="005F43A4" w:rsidRPr="00C16840">
        <w:rPr>
          <w:bCs/>
        </w:rPr>
        <w:t>.</w:t>
      </w:r>
    </w:p>
    <w:p w14:paraId="2654E4EB" w14:textId="77777777" w:rsidR="00BF4084" w:rsidRPr="00C16840" w:rsidRDefault="00BF4084" w:rsidP="009A5840">
      <w:pPr>
        <w:pStyle w:val="Phitekst"/>
        <w:rPr>
          <w:bCs/>
        </w:rPr>
      </w:pPr>
      <w:r w:rsidRPr="00C16840">
        <w:rPr>
          <w:b/>
        </w:rPr>
        <w:t>Likviidsusreservi kasutatakse riigi igapäevase rahavoo juhtimiseks ja selle maht muutub samuti igapäevaselt.</w:t>
      </w:r>
      <w:r w:rsidRPr="00C16840">
        <w:rPr>
          <w:bCs/>
        </w:rPr>
        <w:t xml:space="preserve"> Likviidsusreserv hõlmab arvestuslikult riigi, Haigekassa, Töötukassa, mõningate sihtasutuste ja teiste isikute (nt Pensionikeskus) raha. Seega hõlmab arvestuslikult likviidsusreserv enamat, kui ainult keskvalitsuse likviidseid vahendeid. Seisuga 28.03.2022 oli riigi likviidsusreservis 1 523 mln eurot. Reservi paigutused on tehtud krediidiasutuste võlakirjadesse ja hoiustesse. Likviidsusreservi 2021. aasta tulusus oli -0,29%.</w:t>
      </w:r>
    </w:p>
    <w:p w14:paraId="21DED900" w14:textId="6D30969A" w:rsidR="00BF4084" w:rsidRPr="00C16840" w:rsidRDefault="00BF4084" w:rsidP="009A5840">
      <w:pPr>
        <w:pStyle w:val="Phitekst"/>
        <w:rPr>
          <w:bCs/>
        </w:rPr>
      </w:pPr>
      <w:r w:rsidRPr="00C16840">
        <w:rPr>
          <w:b/>
        </w:rPr>
        <w:t>Käesoleval aastal vähendab likviidsusreservi taset rahavooline puudujääk, mille täitmiseks kaasatakse prognoosi kohaselt täiendavaid vahendeid kokku 1</w:t>
      </w:r>
      <w:r w:rsidR="00E474E2" w:rsidRPr="00C16840">
        <w:rPr>
          <w:b/>
        </w:rPr>
        <w:t> </w:t>
      </w:r>
      <w:r w:rsidR="00903F58" w:rsidRPr="00C16840">
        <w:rPr>
          <w:b/>
        </w:rPr>
        <w:t>0</w:t>
      </w:r>
      <w:r w:rsidR="00B955EC" w:rsidRPr="00C16840">
        <w:rPr>
          <w:b/>
        </w:rPr>
        <w:t>9</w:t>
      </w:r>
      <w:r w:rsidR="00903F58" w:rsidRPr="00C16840">
        <w:rPr>
          <w:b/>
        </w:rPr>
        <w:t xml:space="preserve">0 </w:t>
      </w:r>
      <w:r w:rsidRPr="00C16840">
        <w:rPr>
          <w:b/>
        </w:rPr>
        <w:t>mln ulatuses.</w:t>
      </w:r>
      <w:r w:rsidRPr="00C16840">
        <w:rPr>
          <w:bCs/>
        </w:rPr>
        <w:t xml:space="preserve"> Võla kaasamist alustati jaanuaris</w:t>
      </w:r>
      <w:r w:rsidR="00811A30">
        <w:rPr>
          <w:bCs/>
        </w:rPr>
        <w:t>,</w:t>
      </w:r>
      <w:r w:rsidRPr="00C16840">
        <w:rPr>
          <w:bCs/>
        </w:rPr>
        <w:t xml:space="preserve"> kui võeti lepingujärgselt kasutusse EIB-</w:t>
      </w:r>
      <w:proofErr w:type="spellStart"/>
      <w:r w:rsidRPr="00C16840">
        <w:rPr>
          <w:bCs/>
        </w:rPr>
        <w:t>lt</w:t>
      </w:r>
      <w:proofErr w:type="spellEnd"/>
      <w:r w:rsidR="00863E47">
        <w:rPr>
          <w:rStyle w:val="Lpumrkuseviide"/>
          <w:bCs/>
        </w:rPr>
        <w:endnoteReference w:id="7"/>
      </w:r>
      <w:r w:rsidRPr="00C16840">
        <w:rPr>
          <w:bCs/>
        </w:rPr>
        <w:t xml:space="preserve"> 150 mln ja CEB-</w:t>
      </w:r>
      <w:proofErr w:type="spellStart"/>
      <w:r w:rsidRPr="00C16840">
        <w:rPr>
          <w:bCs/>
        </w:rPr>
        <w:t>lt</w:t>
      </w:r>
      <w:proofErr w:type="spellEnd"/>
      <w:r w:rsidRPr="00C16840">
        <w:rPr>
          <w:bCs/>
        </w:rPr>
        <w:t xml:space="preserve"> 50 mln eurot.  29.03.2022 emiteeriti lühiajalisi võlakirju kokku 400 mln euro ulatuses tähtaegadega 6 ja 12 kuud, mis katavad samaaegselt </w:t>
      </w:r>
      <w:proofErr w:type="spellStart"/>
      <w:r w:rsidRPr="00C16840">
        <w:rPr>
          <w:bCs/>
        </w:rPr>
        <w:t>lunastuvate</w:t>
      </w:r>
      <w:proofErr w:type="spellEnd"/>
      <w:r w:rsidRPr="00C16840">
        <w:rPr>
          <w:bCs/>
        </w:rPr>
        <w:t>, 2021. aastal emiteeritud võlakirjade tagasimakset.</w:t>
      </w:r>
    </w:p>
    <w:p w14:paraId="7D378F5E" w14:textId="77777777" w:rsidR="00BF4084" w:rsidRDefault="00BF4084" w:rsidP="00BF4084">
      <w:pPr>
        <w:spacing w:after="0"/>
        <w:rPr>
          <w:rFonts w:cstheme="minorHAnsi"/>
          <w:highlight w:val="yellow"/>
        </w:rPr>
        <w:sectPr w:rsidR="00BF4084">
          <w:endnotePr>
            <w:numFmt w:val="decimal"/>
          </w:endnotePr>
          <w:type w:val="continuous"/>
          <w:pgSz w:w="11906" w:h="16838"/>
          <w:pgMar w:top="964" w:right="964" w:bottom="964" w:left="964" w:header="709" w:footer="709" w:gutter="0"/>
          <w:cols w:num="2" w:space="708"/>
        </w:sectPr>
      </w:pPr>
    </w:p>
    <w:p w14:paraId="2A24077B" w14:textId="77777777" w:rsidR="00201039" w:rsidRPr="00201039" w:rsidRDefault="00201039" w:rsidP="00201039">
      <w:pPr>
        <w:pStyle w:val="Phitekst"/>
        <w:rPr>
          <w:bCs/>
        </w:rPr>
      </w:pPr>
      <w:bookmarkStart w:id="132" w:name="_Toc62631861"/>
      <w:bookmarkStart w:id="133" w:name="_Toc64504583"/>
      <w:bookmarkStart w:id="134" w:name="_Toc64844906"/>
    </w:p>
    <w:p w14:paraId="30B3921C" w14:textId="076433CE" w:rsidR="00201039" w:rsidRPr="00CF2C31" w:rsidRDefault="00201039" w:rsidP="006F3B6B">
      <w:pPr>
        <w:rPr>
          <w:rFonts w:ascii="Roboto Condensed" w:hAnsi="Roboto Condensed"/>
          <w:sz w:val="20"/>
          <w:szCs w:val="20"/>
        </w:rPr>
        <w:sectPr w:rsidR="00201039" w:rsidRPr="00CF2C31" w:rsidSect="0093189D">
          <w:endnotePr>
            <w:numFmt w:val="decimal"/>
          </w:endnotePr>
          <w:type w:val="continuous"/>
          <w:pgSz w:w="11906" w:h="16838"/>
          <w:pgMar w:top="964" w:right="964" w:bottom="964" w:left="964" w:header="709" w:footer="709" w:gutter="0"/>
          <w:cols w:space="708"/>
          <w:docGrid w:linePitch="360"/>
        </w:sectPr>
      </w:pPr>
    </w:p>
    <w:p w14:paraId="6FB8B55F" w14:textId="43ABCBBB" w:rsidR="00A05E1B" w:rsidRPr="00C33EB8" w:rsidRDefault="008C4223" w:rsidP="00E66452">
      <w:pPr>
        <w:pStyle w:val="Pealkiri1"/>
        <w:ind w:left="432" w:hanging="432"/>
        <w:jc w:val="both"/>
      </w:pPr>
      <w:bookmarkStart w:id="135" w:name="_Toc100230264"/>
      <w:r w:rsidRPr="00C33EB8">
        <w:lastRenderedPageBreak/>
        <w:t>RISKISTSENAARIUM</w:t>
      </w:r>
      <w:bookmarkEnd w:id="135"/>
    </w:p>
    <w:bookmarkEnd w:id="132"/>
    <w:bookmarkEnd w:id="133"/>
    <w:bookmarkEnd w:id="134"/>
    <w:p w14:paraId="62196F41" w14:textId="77777777" w:rsidR="00C024F4" w:rsidRDefault="00C024F4" w:rsidP="00C024F4">
      <w:pPr>
        <w:pStyle w:val="Phitekst"/>
        <w:sectPr w:rsidR="00C024F4" w:rsidSect="005B7F4F">
          <w:endnotePr>
            <w:numFmt w:val="decimal"/>
          </w:endnotePr>
          <w:pgSz w:w="11906" w:h="16838"/>
          <w:pgMar w:top="964" w:right="964" w:bottom="964" w:left="964" w:header="709" w:footer="709" w:gutter="0"/>
          <w:cols w:space="708"/>
          <w:docGrid w:linePitch="360"/>
        </w:sectPr>
      </w:pPr>
    </w:p>
    <w:p w14:paraId="1EF0149A" w14:textId="15F48EDD" w:rsidR="00C024F4" w:rsidRPr="00C16840" w:rsidRDefault="00C024F4" w:rsidP="00C024F4">
      <w:pPr>
        <w:pStyle w:val="Phitekst"/>
        <w:rPr>
          <w:bCs/>
        </w:rPr>
      </w:pPr>
      <w:r w:rsidRPr="00C16840">
        <w:rPr>
          <w:bCs/>
        </w:rPr>
        <w:t>Riskistsenaariumi koostamise eesmärgiks on näidata majandusarengu alternatiivseid võimalusi ning nende mõju riigieelarvele.</w:t>
      </w:r>
    </w:p>
    <w:p w14:paraId="7B532CC3" w14:textId="77777777" w:rsidR="00C024F4" w:rsidRPr="00334845" w:rsidRDefault="00C024F4" w:rsidP="00C024F4">
      <w:pPr>
        <w:pStyle w:val="Pealkiri4"/>
      </w:pPr>
      <w:r>
        <w:t>Suvise</w:t>
      </w:r>
      <w:r w:rsidRPr="00334845">
        <w:t xml:space="preserve"> prognoosi riskistsenaariumi täitumise ülevaade</w:t>
      </w:r>
    </w:p>
    <w:p w14:paraId="40E9265B" w14:textId="0D39D78B" w:rsidR="00C024F4" w:rsidRPr="00C16840" w:rsidRDefault="00C024F4" w:rsidP="00C024F4">
      <w:pPr>
        <w:pStyle w:val="Phitekst"/>
        <w:rPr>
          <w:bCs/>
        </w:rPr>
      </w:pPr>
      <w:r w:rsidRPr="00C16840">
        <w:rPr>
          <w:bCs/>
        </w:rPr>
        <w:t>Meie eelmine prognoos oli koostatud koroonakriisi lõppu oodates, kus nägime võimalust, et ajutine kiire taastumise periood saab läbi ning meie suhteline eelis (vähesed tegevuspiirangud viiruse tõkestamisel) kaob ning domineerima hakkavad kriisieelsed struktuursed probleemid, vähendades Eesti majanduskasvu väljavaa</w:t>
      </w:r>
      <w:r w:rsidR="00811A30">
        <w:rPr>
          <w:bCs/>
        </w:rPr>
        <w:t>det</w:t>
      </w:r>
      <w:r w:rsidRPr="00C16840">
        <w:rPr>
          <w:bCs/>
        </w:rPr>
        <w:t xml:space="preserve"> käesoleval aastal. Peame tõdema, et kuigi suvise prognoosi riskistsenaariumis </w:t>
      </w:r>
      <w:r w:rsidR="00811A30">
        <w:rPr>
          <w:bCs/>
        </w:rPr>
        <w:t xml:space="preserve">eeldatud </w:t>
      </w:r>
      <w:r w:rsidRPr="00C16840">
        <w:rPr>
          <w:bCs/>
        </w:rPr>
        <w:t xml:space="preserve">majanduskasvu aeglustumine on realiseerumas, toimub see hoopis muudel põhjustel ning olulisemalt suuremas ulatuses, kui oodatud. Tänane </w:t>
      </w:r>
      <w:r w:rsidR="00811A30">
        <w:rPr>
          <w:bCs/>
        </w:rPr>
        <w:t xml:space="preserve">Venemaa sõjaline agressioon </w:t>
      </w:r>
      <w:r w:rsidRPr="00C16840">
        <w:rPr>
          <w:bCs/>
        </w:rPr>
        <w:t>Ukrainas omab ulatuslikku ja tõenäoliselt püsivat mõju kogu maailmamajanduse arengule ning selle ulatust on raske ette näha.</w:t>
      </w:r>
    </w:p>
    <w:p w14:paraId="4B715217" w14:textId="77777777" w:rsidR="00C024F4" w:rsidRPr="00334845" w:rsidRDefault="00C024F4" w:rsidP="00C024F4">
      <w:pPr>
        <w:pStyle w:val="Pealkiri4"/>
      </w:pPr>
      <w:r>
        <w:t>Kevadprognoosi riskistsenaarium</w:t>
      </w:r>
    </w:p>
    <w:p w14:paraId="55671ECF" w14:textId="26D15DCF" w:rsidR="00C024F4" w:rsidRPr="00C16840" w:rsidRDefault="00811A30" w:rsidP="00C024F4">
      <w:pPr>
        <w:pStyle w:val="Phitekst"/>
        <w:rPr>
          <w:bCs/>
        </w:rPr>
      </w:pPr>
      <w:r>
        <w:rPr>
          <w:bCs/>
        </w:rPr>
        <w:t>Kevadp</w:t>
      </w:r>
      <w:r w:rsidR="00C024F4" w:rsidRPr="00C16840">
        <w:rPr>
          <w:bCs/>
        </w:rPr>
        <w:t>rognoosi põhistsenaariumis oleme lähtunud põhimõttest, kus Venemaa algatatud sõjalise agressiooni kõrvalmõju avaldu</w:t>
      </w:r>
      <w:r w:rsidR="00BA3260">
        <w:rPr>
          <w:bCs/>
        </w:rPr>
        <w:t>b</w:t>
      </w:r>
      <w:r w:rsidR="00C024F4" w:rsidRPr="00C16840">
        <w:rPr>
          <w:bCs/>
        </w:rPr>
        <w:t xml:space="preserve"> meie jaoks nii läbi kaubandus- kui ka kindlustunde kanali. Eesti majandus on ka varasemates kriisides silma paistnud erakordse kohanemisvõimega, mistõttu võib pidada võimalikuks, et Venemaa ja Valgevene turgude ära langemise ning sealt imporditud odava toorme puudusele vaatamata suudavad ettevõtted tekkinud olukorras kiiresti ümber orienteeruda.</w:t>
      </w:r>
    </w:p>
    <w:p w14:paraId="7015DEF6" w14:textId="59E370B3" w:rsidR="00C024F4" w:rsidRPr="00C16840" w:rsidRDefault="00C024F4" w:rsidP="00C024F4">
      <w:pPr>
        <w:pStyle w:val="Phitekst"/>
        <w:rPr>
          <w:bCs/>
        </w:rPr>
      </w:pPr>
      <w:r w:rsidRPr="00C16840">
        <w:rPr>
          <w:b/>
        </w:rPr>
        <w:t xml:space="preserve">Riskistsenaariumi kohaselt oleks võimalik vältida majanduslangust ning ka majanduse pikaajaline kasvupotentsiaal ei saaks oluliselt kahjustatud. </w:t>
      </w:r>
      <w:r w:rsidRPr="00C16840">
        <w:rPr>
          <w:bCs/>
        </w:rPr>
        <w:t xml:space="preserve">Stsenaariumi kohaselt aeglustuks Eesti majanduskasv käesoleval aastal oluliselt (1,4%ni) ning püsiks madal ka järgmisel aastal (1,7%). Sellisel juhul piirduks Venemaa-Ukraina sõja mõju sisuliselt ühekordse nõudluspoolse šokiga, kus idasuunalisele ekspordile suudetakse leida uued </w:t>
      </w:r>
      <w:r w:rsidR="00811A30">
        <w:rPr>
          <w:bCs/>
        </w:rPr>
        <w:t>siht</w:t>
      </w:r>
      <w:r w:rsidRPr="00C16840">
        <w:rPr>
          <w:bCs/>
        </w:rPr>
        <w:t xml:space="preserve">turud. Kuigi Venemaalt ja Valgevenest imporditud toorainel (peamiselt energia, puit ja metallid) on oma ajalooline roll meie majanduse konkurentsivõimel, </w:t>
      </w:r>
      <w:r w:rsidRPr="00C16840">
        <w:rPr>
          <w:bCs/>
        </w:rPr>
        <w:t>siis nendele toodetele on võimalik leida asendus, mis on küll veidi kallim, kuid tagab suures plaanis siiski tootmise jätkamise ilma märkimisväärsete tõrgeteta.</w:t>
      </w:r>
    </w:p>
    <w:p w14:paraId="501905C5" w14:textId="1284FBEA" w:rsidR="0067621E" w:rsidRDefault="0067621E" w:rsidP="0067621E">
      <w:pPr>
        <w:pStyle w:val="Pealdis"/>
      </w:pPr>
      <w:bookmarkStart w:id="136" w:name="_Toc100230278"/>
      <w:r>
        <w:t xml:space="preserve">Joonis </w:t>
      </w:r>
      <w:fldSimple w:instr=" SEQ Joonis \* ARABIC ">
        <w:r w:rsidR="00201039">
          <w:rPr>
            <w:noProof/>
          </w:rPr>
          <w:t>9</w:t>
        </w:r>
      </w:fldSimple>
      <w:r>
        <w:t>. Majanduskasv, positiivne riskistsenaarium (%)</w:t>
      </w:r>
      <w:bookmarkEnd w:id="136"/>
    </w:p>
    <w:p w14:paraId="5DFEB446" w14:textId="6EAF5926" w:rsidR="0067621E" w:rsidRDefault="0067621E" w:rsidP="00C024F4">
      <w:pPr>
        <w:pStyle w:val="Phitekst"/>
      </w:pPr>
      <w:r>
        <w:rPr>
          <w:noProof/>
          <w:lang w:eastAsia="et-EE"/>
        </w:rPr>
        <w:drawing>
          <wp:inline distT="0" distB="0" distL="0" distR="0" wp14:anchorId="57FBF027" wp14:editId="7738F0FD">
            <wp:extent cx="2801470" cy="1905000"/>
            <wp:effectExtent l="0" t="0" r="0" b="0"/>
            <wp:docPr id="17" name="Diagramm 17">
              <a:extLst xmlns:a="http://schemas.openxmlformats.org/drawingml/2006/main">
                <a:ext uri="{FF2B5EF4-FFF2-40B4-BE49-F238E27FC236}">
                  <a16:creationId xmlns:a16="http://schemas.microsoft.com/office/drawing/2014/main" id="{00000000-0008-0000-01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EF2CBC9" w14:textId="3DFC83D8" w:rsidR="00D86B19" w:rsidRPr="00D86B19" w:rsidRDefault="00D86B19" w:rsidP="00D86B19">
      <w:pPr>
        <w:pStyle w:val="Phitekst"/>
        <w:rPr>
          <w:b/>
          <w:bCs/>
        </w:rPr>
      </w:pPr>
      <w:r w:rsidRPr="00D86B19">
        <w:rPr>
          <w:b/>
          <w:bCs/>
        </w:rPr>
        <w:t>Riskistsenaariumis väiksem eelarvepuudujääk</w:t>
      </w:r>
    </w:p>
    <w:p w14:paraId="4C1ABEB0" w14:textId="037C6F4D" w:rsidR="00D86B19" w:rsidRDefault="00C33EB8" w:rsidP="00D86B19">
      <w:pPr>
        <w:pStyle w:val="Phitekst"/>
      </w:pPr>
      <w:r w:rsidRPr="00C33EB8">
        <w:t>Riskistsenaariumi tulude ja kulude prognoos tugi-neb makromajanduse vastavale prognoosile ja näeb ette valitsussektori eelarvepositsiooni paranemist 0,5% võrra SKPst sel aastal ehk puudujääk ulatub 3,3%ni SKPst. Käesoleva aasta väiksem puudujääk baasstsenaariumiga võrreldes tuleneb eelkõige maksutulude paremast laekumisest, mis mõjutab kõiki valitsussektori tasandeid. Kuigi järgnevate aastate majanduskasv on riskistsenaariumi kohaselt baasstsenaariumiga sarnane, siis selle aasta väiksem puudujääk kandub edasi ka järgnevatele aastatele, mis vähendab puudujääki 2024. aastaks 2,8%ni SKPst</w:t>
      </w:r>
      <w:r w:rsidR="00D86B19" w:rsidRPr="00C33EB8">
        <w:t>.</w:t>
      </w:r>
    </w:p>
    <w:p w14:paraId="5044D9DD" w14:textId="13CE44DC" w:rsidR="00D86B19" w:rsidRPr="00C16840" w:rsidRDefault="00D86B19" w:rsidP="00D86B19">
      <w:pPr>
        <w:pStyle w:val="Phitekst"/>
        <w:rPr>
          <w:bCs/>
        </w:rPr>
      </w:pPr>
      <w:r w:rsidRPr="00C16840">
        <w:rPr>
          <w:b/>
        </w:rPr>
        <w:t xml:space="preserve">Riskistsenaariumi kohaselt </w:t>
      </w:r>
      <w:r w:rsidR="001B6B82" w:rsidRPr="00C16840">
        <w:rPr>
          <w:b/>
        </w:rPr>
        <w:t xml:space="preserve">väheneb </w:t>
      </w:r>
      <w:r w:rsidRPr="00C16840">
        <w:rPr>
          <w:b/>
        </w:rPr>
        <w:t xml:space="preserve">netovõlg </w:t>
      </w:r>
      <w:r w:rsidR="001B6B82" w:rsidRPr="00C16840">
        <w:rPr>
          <w:b/>
        </w:rPr>
        <w:t xml:space="preserve">kuni </w:t>
      </w:r>
      <w:r w:rsidR="002129B5" w:rsidRPr="00C16840">
        <w:rPr>
          <w:b/>
        </w:rPr>
        <w:t>2</w:t>
      </w:r>
      <w:r w:rsidR="001B6B82" w:rsidRPr="00C16840">
        <w:rPr>
          <w:b/>
        </w:rPr>
        <w:t>,</w:t>
      </w:r>
      <w:r w:rsidR="002129B5" w:rsidRPr="00C16840">
        <w:rPr>
          <w:b/>
        </w:rPr>
        <w:t xml:space="preserve">1 </w:t>
      </w:r>
      <w:r w:rsidR="001B6B82" w:rsidRPr="00C16840">
        <w:rPr>
          <w:b/>
        </w:rPr>
        <w:t>protsendipunkti võrra</w:t>
      </w:r>
      <w:r w:rsidRPr="00C16840">
        <w:rPr>
          <w:b/>
        </w:rPr>
        <w:t>.</w:t>
      </w:r>
      <w:r w:rsidRPr="00C16840">
        <w:rPr>
          <w:bCs/>
        </w:rPr>
        <w:t xml:space="preserve"> Baasstsenaariumist </w:t>
      </w:r>
      <w:r w:rsidR="001B6B82" w:rsidRPr="00C16840">
        <w:rPr>
          <w:bCs/>
        </w:rPr>
        <w:t xml:space="preserve">positiivsem </w:t>
      </w:r>
      <w:r w:rsidRPr="00C16840">
        <w:rPr>
          <w:bCs/>
        </w:rPr>
        <w:t xml:space="preserve">keskvalitsuse ja kohalike omavalitsuste eelarvepositsioon </w:t>
      </w:r>
      <w:r w:rsidR="001B6B82" w:rsidRPr="00C16840">
        <w:rPr>
          <w:bCs/>
        </w:rPr>
        <w:t xml:space="preserve">vähendavad </w:t>
      </w:r>
      <w:r w:rsidRPr="00C16840">
        <w:rPr>
          <w:bCs/>
        </w:rPr>
        <w:t>riskistsenaariumis nende valitsussektori tasan</w:t>
      </w:r>
      <w:r w:rsidRPr="00C16840">
        <w:rPr>
          <w:bCs/>
        </w:rPr>
        <w:softHyphen/>
        <w:t>dite võla</w:t>
      </w:r>
      <w:r w:rsidR="00021311">
        <w:rPr>
          <w:bCs/>
        </w:rPr>
        <w:t xml:space="preserve"> </w:t>
      </w:r>
      <w:r w:rsidRPr="00C16840">
        <w:rPr>
          <w:bCs/>
        </w:rPr>
        <w:t xml:space="preserve">taset. Seega valitsussektori võlakoormus </w:t>
      </w:r>
      <w:r w:rsidR="001B6B82" w:rsidRPr="00C16840">
        <w:rPr>
          <w:bCs/>
        </w:rPr>
        <w:t xml:space="preserve">langeb väheneva </w:t>
      </w:r>
      <w:r w:rsidRPr="00C16840">
        <w:rPr>
          <w:bCs/>
        </w:rPr>
        <w:t xml:space="preserve">finantseerimisvajaduse tõttu riskistsenaariumis kuni </w:t>
      </w:r>
      <w:r w:rsidR="002129B5" w:rsidRPr="00C16840">
        <w:rPr>
          <w:bCs/>
        </w:rPr>
        <w:t>1</w:t>
      </w:r>
      <w:r w:rsidRPr="00C16840">
        <w:rPr>
          <w:bCs/>
        </w:rPr>
        <w:t>,</w:t>
      </w:r>
      <w:r w:rsidR="002129B5" w:rsidRPr="00C16840">
        <w:rPr>
          <w:bCs/>
        </w:rPr>
        <w:t>6</w:t>
      </w:r>
      <w:r w:rsidRPr="00C16840">
        <w:rPr>
          <w:bCs/>
        </w:rPr>
        <w:t>% võrra.</w:t>
      </w:r>
      <w:r w:rsidR="001B6B82" w:rsidRPr="00C16840">
        <w:rPr>
          <w:bCs/>
        </w:rPr>
        <w:t xml:space="preserve"> Paranenud sotsiaalkindlustusfondide eelarvepositsiooni läbi suurenevad valitsussektori reservid kuni 0,5 protsendipunkti võrra. </w:t>
      </w:r>
    </w:p>
    <w:p w14:paraId="01F18554" w14:textId="77777777" w:rsidR="00D86B19" w:rsidRPr="00D86B19" w:rsidRDefault="00D86B19" w:rsidP="00D86B19">
      <w:pPr>
        <w:pStyle w:val="Phitekst"/>
        <w:rPr>
          <w:b/>
          <w:bCs/>
          <w:highlight w:val="yellow"/>
        </w:rPr>
      </w:pPr>
    </w:p>
    <w:p w14:paraId="6A60590B" w14:textId="77777777" w:rsidR="00C024F4" w:rsidRPr="00D86B19" w:rsidRDefault="00C024F4" w:rsidP="00F37D12">
      <w:pPr>
        <w:pStyle w:val="Phitekst"/>
        <w:rPr>
          <w:highlight w:val="yellow"/>
        </w:rPr>
        <w:sectPr w:rsidR="00C024F4" w:rsidRPr="00D86B19" w:rsidSect="001B6B82">
          <w:endnotePr>
            <w:numFmt w:val="decimal"/>
          </w:endnotePr>
          <w:type w:val="continuous"/>
          <w:pgSz w:w="11906" w:h="16838"/>
          <w:pgMar w:top="964" w:right="964" w:bottom="964" w:left="964" w:header="709" w:footer="709" w:gutter="0"/>
          <w:cols w:num="2" w:space="708"/>
          <w:docGrid w:linePitch="360"/>
        </w:sectPr>
      </w:pPr>
    </w:p>
    <w:p w14:paraId="116D41ED" w14:textId="4151D276" w:rsidR="00D86B19" w:rsidRPr="00646952" w:rsidRDefault="00D86B19" w:rsidP="00C33EB8">
      <w:pPr>
        <w:pStyle w:val="Pealdis"/>
        <w:jc w:val="both"/>
      </w:pPr>
      <w:bookmarkStart w:id="137" w:name="_Toc4502663"/>
      <w:bookmarkStart w:id="138" w:name="_Toc68514423"/>
      <w:bookmarkStart w:id="139" w:name="_Toc100230289"/>
      <w:r w:rsidRPr="00C33EB8">
        <w:lastRenderedPageBreak/>
        <w:t xml:space="preserve">Tabel </w:t>
      </w:r>
      <w:r w:rsidRPr="00C33EB8">
        <w:rPr>
          <w:noProof/>
        </w:rPr>
        <w:fldChar w:fldCharType="begin"/>
      </w:r>
      <w:r w:rsidRPr="00C33EB8">
        <w:rPr>
          <w:noProof/>
        </w:rPr>
        <w:instrText xml:space="preserve"> SEQ Tabel \* ARABIC </w:instrText>
      </w:r>
      <w:r w:rsidRPr="00C33EB8">
        <w:rPr>
          <w:noProof/>
        </w:rPr>
        <w:fldChar w:fldCharType="separate"/>
      </w:r>
      <w:r w:rsidR="00201039">
        <w:rPr>
          <w:noProof/>
        </w:rPr>
        <w:t>4</w:t>
      </w:r>
      <w:r w:rsidRPr="00C33EB8">
        <w:rPr>
          <w:noProof/>
        </w:rPr>
        <w:fldChar w:fldCharType="end"/>
      </w:r>
      <w:r w:rsidRPr="00C33EB8">
        <w:t xml:space="preserve">. Valitsussektori eelarvepositsioon </w:t>
      </w:r>
      <w:r w:rsidRPr="00646952">
        <w:t>riskistsenaariumi kohaselt 2022-202</w:t>
      </w:r>
      <w:bookmarkEnd w:id="137"/>
      <w:bookmarkEnd w:id="138"/>
      <w:r w:rsidRPr="00646952">
        <w:t>4</w:t>
      </w:r>
      <w:bookmarkEnd w:id="139"/>
    </w:p>
    <w:tbl>
      <w:tblPr>
        <w:tblStyle w:val="Peentabel1"/>
        <w:tblW w:w="9909" w:type="dxa"/>
        <w:tblLayout w:type="fixed"/>
        <w:tblLook w:val="04A0" w:firstRow="1" w:lastRow="0" w:firstColumn="1" w:lastColumn="0" w:noHBand="0" w:noVBand="1"/>
      </w:tblPr>
      <w:tblGrid>
        <w:gridCol w:w="237"/>
        <w:gridCol w:w="4860"/>
        <w:gridCol w:w="802"/>
        <w:gridCol w:w="802"/>
        <w:gridCol w:w="802"/>
        <w:gridCol w:w="802"/>
        <w:gridCol w:w="802"/>
        <w:gridCol w:w="802"/>
      </w:tblGrid>
      <w:tr w:rsidR="00D86B19" w:rsidRPr="00646952" w14:paraId="7190A030" w14:textId="77777777" w:rsidTr="00D41569">
        <w:trPr>
          <w:gridBefore w:val="1"/>
          <w:cnfStyle w:val="100000000000" w:firstRow="1" w:lastRow="0" w:firstColumn="0" w:lastColumn="0" w:oddVBand="0" w:evenVBand="0" w:oddHBand="0" w:evenHBand="0" w:firstRowFirstColumn="0" w:firstRowLastColumn="0" w:lastRowFirstColumn="0" w:lastRowLastColumn="0"/>
          <w:wBefore w:w="237" w:type="dxa"/>
          <w:trHeight w:val="266"/>
        </w:trPr>
        <w:tc>
          <w:tcPr>
            <w:cnfStyle w:val="001000000000" w:firstRow="0" w:lastRow="0" w:firstColumn="1" w:lastColumn="0" w:oddVBand="0" w:evenVBand="0" w:oddHBand="0" w:evenHBand="0" w:firstRowFirstColumn="0" w:firstRowLastColumn="0" w:lastRowFirstColumn="0" w:lastRowLastColumn="0"/>
            <w:tcW w:w="4860" w:type="dxa"/>
            <w:hideMark/>
          </w:tcPr>
          <w:p w14:paraId="2786CD9C" w14:textId="77777777" w:rsidR="00D86B19" w:rsidRPr="00646952" w:rsidRDefault="00D86B19" w:rsidP="00C33EB8">
            <w:pPr>
              <w:pStyle w:val="Tabelid"/>
            </w:pPr>
            <w:r w:rsidRPr="00646952">
              <w:t> </w:t>
            </w:r>
          </w:p>
        </w:tc>
        <w:tc>
          <w:tcPr>
            <w:tcW w:w="2406" w:type="dxa"/>
            <w:gridSpan w:val="3"/>
            <w:noWrap/>
          </w:tcPr>
          <w:p w14:paraId="798A9777" w14:textId="77777777" w:rsidR="00D86B19" w:rsidRPr="00646952" w:rsidRDefault="00D86B19" w:rsidP="00C33EB8">
            <w:pPr>
              <w:pStyle w:val="Tabelid"/>
              <w:cnfStyle w:val="100000000000" w:firstRow="1" w:lastRow="0" w:firstColumn="0" w:lastColumn="0" w:oddVBand="0" w:evenVBand="0" w:oddHBand="0" w:evenHBand="0" w:firstRowFirstColumn="0" w:firstRowLastColumn="0" w:lastRowFirstColumn="0" w:lastRowLastColumn="0"/>
            </w:pPr>
            <w:r w:rsidRPr="00646952">
              <w:t>Riskistsenaarium</w:t>
            </w:r>
          </w:p>
        </w:tc>
        <w:tc>
          <w:tcPr>
            <w:tcW w:w="2406" w:type="dxa"/>
            <w:gridSpan w:val="3"/>
            <w:noWrap/>
          </w:tcPr>
          <w:p w14:paraId="54E1B2AE" w14:textId="77777777" w:rsidR="00D86B19" w:rsidRPr="00646952" w:rsidRDefault="00D86B19" w:rsidP="00C33EB8">
            <w:pPr>
              <w:pStyle w:val="Tabelid"/>
              <w:cnfStyle w:val="100000000000" w:firstRow="1" w:lastRow="0" w:firstColumn="0" w:lastColumn="0" w:oddVBand="0" w:evenVBand="0" w:oddHBand="0" w:evenHBand="0" w:firstRowFirstColumn="0" w:firstRowLastColumn="0" w:lastRowFirstColumn="0" w:lastRowLastColumn="0"/>
            </w:pPr>
            <w:r w:rsidRPr="00646952">
              <w:t>Erinevus baasprognoosist</w:t>
            </w:r>
          </w:p>
        </w:tc>
      </w:tr>
      <w:tr w:rsidR="00C33EB8" w:rsidRPr="00646952" w14:paraId="3E764006" w14:textId="77777777" w:rsidTr="00D4156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37" w:type="dxa"/>
            <w:tcBorders>
              <w:right w:val="none" w:sz="0" w:space="0" w:color="auto"/>
            </w:tcBorders>
          </w:tcPr>
          <w:p w14:paraId="545E4F9E" w14:textId="77777777" w:rsidR="00C33EB8" w:rsidRPr="00646952" w:rsidRDefault="00C33EB8" w:rsidP="00C33EB8">
            <w:pPr>
              <w:pStyle w:val="Tabelid"/>
            </w:pPr>
          </w:p>
        </w:tc>
        <w:tc>
          <w:tcPr>
            <w:tcW w:w="4860" w:type="dxa"/>
            <w:tcBorders>
              <w:right w:val="single" w:sz="12" w:space="0" w:color="auto"/>
            </w:tcBorders>
            <w:noWrap/>
          </w:tcPr>
          <w:p w14:paraId="412135BE" w14:textId="77777777" w:rsidR="00C33EB8" w:rsidRPr="00646952" w:rsidRDefault="00C33EB8" w:rsidP="00C33EB8">
            <w:pPr>
              <w:pStyle w:val="Tabelid"/>
              <w:cnfStyle w:val="000000100000" w:firstRow="0" w:lastRow="0" w:firstColumn="0" w:lastColumn="0" w:oddVBand="0" w:evenVBand="0" w:oddHBand="1" w:evenHBand="0" w:firstRowFirstColumn="0" w:firstRowLastColumn="0" w:lastRowFirstColumn="0" w:lastRowLastColumn="0"/>
            </w:pPr>
          </w:p>
        </w:tc>
        <w:tc>
          <w:tcPr>
            <w:tcW w:w="802" w:type="dxa"/>
            <w:tcBorders>
              <w:left w:val="single" w:sz="12" w:space="0" w:color="auto"/>
            </w:tcBorders>
            <w:noWrap/>
          </w:tcPr>
          <w:p w14:paraId="32178F98" w14:textId="5061DDBF"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lang w:eastAsia="en-US"/>
              </w:rPr>
              <w:t>2022</w:t>
            </w:r>
          </w:p>
        </w:tc>
        <w:tc>
          <w:tcPr>
            <w:tcW w:w="802" w:type="dxa"/>
            <w:noWrap/>
          </w:tcPr>
          <w:p w14:paraId="4CEC7E54" w14:textId="609AA28F"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lang w:eastAsia="en-US"/>
              </w:rPr>
              <w:t>2023</w:t>
            </w:r>
          </w:p>
        </w:tc>
        <w:tc>
          <w:tcPr>
            <w:tcW w:w="802" w:type="dxa"/>
            <w:noWrap/>
          </w:tcPr>
          <w:p w14:paraId="27B73AA1" w14:textId="72E63D9B"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lang w:eastAsia="en-US"/>
              </w:rPr>
              <w:t>2024</w:t>
            </w:r>
          </w:p>
        </w:tc>
        <w:tc>
          <w:tcPr>
            <w:tcW w:w="802" w:type="dxa"/>
            <w:noWrap/>
          </w:tcPr>
          <w:p w14:paraId="3B50EB5C" w14:textId="0B589A10"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lang w:eastAsia="en-US"/>
              </w:rPr>
              <w:t>2022</w:t>
            </w:r>
          </w:p>
        </w:tc>
        <w:tc>
          <w:tcPr>
            <w:tcW w:w="802" w:type="dxa"/>
            <w:noWrap/>
          </w:tcPr>
          <w:p w14:paraId="2A61FD18" w14:textId="678F7067"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lang w:eastAsia="en-US"/>
              </w:rPr>
              <w:t>2023</w:t>
            </w:r>
          </w:p>
        </w:tc>
        <w:tc>
          <w:tcPr>
            <w:tcW w:w="802" w:type="dxa"/>
            <w:shd w:val="clear" w:color="auto" w:fill="D9D9D9" w:themeFill="background1" w:themeFillShade="D9"/>
          </w:tcPr>
          <w:p w14:paraId="0C373EF0" w14:textId="70E05857"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lang w:eastAsia="en-US"/>
              </w:rPr>
              <w:t>2024</w:t>
            </w:r>
          </w:p>
        </w:tc>
      </w:tr>
      <w:tr w:rsidR="00C33EB8" w:rsidRPr="00646952" w14:paraId="72ECD3E4" w14:textId="77777777" w:rsidTr="00C33EB8">
        <w:trPr>
          <w:gridBefore w:val="1"/>
          <w:wBefore w:w="237" w:type="dxa"/>
          <w:trHeight w:val="266"/>
        </w:trPr>
        <w:tc>
          <w:tcPr>
            <w:cnfStyle w:val="001000000000" w:firstRow="0" w:lastRow="0" w:firstColumn="1" w:lastColumn="0" w:oddVBand="0" w:evenVBand="0" w:oddHBand="0" w:evenHBand="0" w:firstRowFirstColumn="0" w:firstRowLastColumn="0" w:lastRowFirstColumn="0" w:lastRowLastColumn="0"/>
            <w:tcW w:w="4860" w:type="dxa"/>
            <w:hideMark/>
          </w:tcPr>
          <w:p w14:paraId="598300EB" w14:textId="77777777" w:rsidR="00C33EB8" w:rsidRPr="00646952" w:rsidRDefault="00C33EB8" w:rsidP="00C33EB8">
            <w:pPr>
              <w:pStyle w:val="Tabelid"/>
            </w:pPr>
            <w:r w:rsidRPr="00646952">
              <w:t>Valitsussektori eelarve</w:t>
            </w:r>
            <w:r w:rsidRPr="00646952">
              <w:softHyphen/>
              <w:t>positsioon (mln eurot)</w:t>
            </w:r>
          </w:p>
        </w:tc>
        <w:tc>
          <w:tcPr>
            <w:tcW w:w="802" w:type="dxa"/>
            <w:noWrap/>
            <w:vAlign w:val="center"/>
            <w:hideMark/>
          </w:tcPr>
          <w:p w14:paraId="11C70FF1" w14:textId="0ECE6224" w:rsidR="00C33EB8" w:rsidRPr="00646952" w:rsidRDefault="00C33EB8" w:rsidP="00C33EB8">
            <w:pPr>
              <w:pStyle w:val="Tabelid"/>
              <w:jc w:val="right"/>
              <w:cnfStyle w:val="000000000000" w:firstRow="0" w:lastRow="0" w:firstColumn="0" w:lastColumn="0" w:oddVBand="0" w:evenVBand="0" w:oddHBand="0" w:evenHBand="0" w:firstRowFirstColumn="0" w:firstRowLastColumn="0" w:lastRowFirstColumn="0" w:lastRowLastColumn="0"/>
              <w:rPr>
                <w:b/>
              </w:rPr>
            </w:pPr>
            <w:r w:rsidRPr="00646952">
              <w:rPr>
                <w:rFonts w:cs="Calibri"/>
                <w:b/>
                <w:bCs/>
                <w:color w:val="000000"/>
                <w:lang w:eastAsia="en-US"/>
              </w:rPr>
              <w:t>-1 108</w:t>
            </w:r>
          </w:p>
        </w:tc>
        <w:tc>
          <w:tcPr>
            <w:tcW w:w="802" w:type="dxa"/>
            <w:noWrap/>
            <w:vAlign w:val="center"/>
            <w:hideMark/>
          </w:tcPr>
          <w:p w14:paraId="1CBB387D" w14:textId="3CF47FE5" w:rsidR="00C33EB8" w:rsidRPr="00646952" w:rsidRDefault="00C33EB8" w:rsidP="00C33EB8">
            <w:pPr>
              <w:pStyle w:val="Tabelid"/>
              <w:jc w:val="right"/>
              <w:cnfStyle w:val="000000000000" w:firstRow="0" w:lastRow="0" w:firstColumn="0" w:lastColumn="0" w:oddVBand="0" w:evenVBand="0" w:oddHBand="0" w:evenHBand="0" w:firstRowFirstColumn="0" w:firstRowLastColumn="0" w:lastRowFirstColumn="0" w:lastRowLastColumn="0"/>
              <w:rPr>
                <w:b/>
              </w:rPr>
            </w:pPr>
            <w:r w:rsidRPr="00646952">
              <w:rPr>
                <w:rFonts w:cs="Calibri"/>
                <w:b/>
                <w:bCs/>
                <w:color w:val="000000"/>
                <w:lang w:eastAsia="en-US"/>
              </w:rPr>
              <w:t>-1 057</w:t>
            </w:r>
          </w:p>
        </w:tc>
        <w:tc>
          <w:tcPr>
            <w:tcW w:w="802" w:type="dxa"/>
            <w:noWrap/>
            <w:vAlign w:val="center"/>
            <w:hideMark/>
          </w:tcPr>
          <w:p w14:paraId="5572E621" w14:textId="1B6CCDA6" w:rsidR="00C33EB8" w:rsidRPr="00646952" w:rsidRDefault="00C33EB8" w:rsidP="00C33EB8">
            <w:pPr>
              <w:pStyle w:val="Tabelid"/>
              <w:jc w:val="right"/>
              <w:cnfStyle w:val="000000000000" w:firstRow="0" w:lastRow="0" w:firstColumn="0" w:lastColumn="0" w:oddVBand="0" w:evenVBand="0" w:oddHBand="0" w:evenHBand="0" w:firstRowFirstColumn="0" w:firstRowLastColumn="0" w:lastRowFirstColumn="0" w:lastRowLastColumn="0"/>
              <w:rPr>
                <w:b/>
              </w:rPr>
            </w:pPr>
            <w:r w:rsidRPr="00646952">
              <w:rPr>
                <w:rFonts w:cs="Calibri"/>
                <w:b/>
                <w:bCs/>
                <w:color w:val="000000"/>
                <w:lang w:eastAsia="en-US"/>
              </w:rPr>
              <w:t>-1 021</w:t>
            </w:r>
          </w:p>
        </w:tc>
        <w:tc>
          <w:tcPr>
            <w:tcW w:w="802" w:type="dxa"/>
            <w:noWrap/>
            <w:vAlign w:val="center"/>
            <w:hideMark/>
          </w:tcPr>
          <w:p w14:paraId="33F36E35" w14:textId="5BD35608" w:rsidR="00C33EB8" w:rsidRPr="00646952" w:rsidRDefault="00C33EB8" w:rsidP="00C33EB8">
            <w:pPr>
              <w:pStyle w:val="Tabelid"/>
              <w:jc w:val="right"/>
              <w:cnfStyle w:val="000000000000" w:firstRow="0" w:lastRow="0" w:firstColumn="0" w:lastColumn="0" w:oddVBand="0" w:evenVBand="0" w:oddHBand="0" w:evenHBand="0" w:firstRowFirstColumn="0" w:firstRowLastColumn="0" w:lastRowFirstColumn="0" w:lastRowLastColumn="0"/>
              <w:rPr>
                <w:b/>
              </w:rPr>
            </w:pPr>
            <w:r w:rsidRPr="00646952">
              <w:rPr>
                <w:rFonts w:cs="Calibri"/>
                <w:b/>
                <w:bCs/>
                <w:color w:val="000000"/>
                <w:lang w:eastAsia="en-US"/>
              </w:rPr>
              <w:t>140</w:t>
            </w:r>
          </w:p>
        </w:tc>
        <w:tc>
          <w:tcPr>
            <w:tcW w:w="802" w:type="dxa"/>
            <w:noWrap/>
            <w:vAlign w:val="center"/>
          </w:tcPr>
          <w:p w14:paraId="1CD7C883" w14:textId="5113350E" w:rsidR="00C33EB8" w:rsidRPr="00646952" w:rsidRDefault="00C33EB8" w:rsidP="00C33EB8">
            <w:pPr>
              <w:pStyle w:val="Tabelid"/>
              <w:jc w:val="right"/>
              <w:cnfStyle w:val="000000000000" w:firstRow="0" w:lastRow="0" w:firstColumn="0" w:lastColumn="0" w:oddVBand="0" w:evenVBand="0" w:oddHBand="0" w:evenHBand="0" w:firstRowFirstColumn="0" w:firstRowLastColumn="0" w:lastRowFirstColumn="0" w:lastRowLastColumn="0"/>
              <w:rPr>
                <w:b/>
              </w:rPr>
            </w:pPr>
            <w:r w:rsidRPr="00646952">
              <w:rPr>
                <w:rFonts w:cs="Calibri"/>
                <w:b/>
                <w:bCs/>
                <w:color w:val="000000"/>
                <w:lang w:eastAsia="en-US"/>
              </w:rPr>
              <w:t>210</w:t>
            </w:r>
          </w:p>
        </w:tc>
        <w:tc>
          <w:tcPr>
            <w:tcW w:w="802" w:type="dxa"/>
            <w:noWrap/>
            <w:vAlign w:val="center"/>
          </w:tcPr>
          <w:p w14:paraId="1D341A97" w14:textId="2D5A0737" w:rsidR="00C33EB8" w:rsidRPr="00646952" w:rsidRDefault="00C33EB8" w:rsidP="00C33EB8">
            <w:pPr>
              <w:pStyle w:val="Tabelid"/>
              <w:jc w:val="right"/>
              <w:cnfStyle w:val="000000000000" w:firstRow="0" w:lastRow="0" w:firstColumn="0" w:lastColumn="0" w:oddVBand="0" w:evenVBand="0" w:oddHBand="0" w:evenHBand="0" w:firstRowFirstColumn="0" w:firstRowLastColumn="0" w:lastRowFirstColumn="0" w:lastRowLastColumn="0"/>
              <w:rPr>
                <w:b/>
              </w:rPr>
            </w:pPr>
            <w:r w:rsidRPr="00646952">
              <w:rPr>
                <w:rFonts w:cs="Calibri"/>
                <w:b/>
                <w:bCs/>
                <w:color w:val="000000"/>
                <w:lang w:eastAsia="en-US"/>
              </w:rPr>
              <w:t>233</w:t>
            </w:r>
          </w:p>
        </w:tc>
      </w:tr>
      <w:tr w:rsidR="00C33EB8" w:rsidRPr="00646952" w14:paraId="691E8F17" w14:textId="77777777" w:rsidTr="00C33EB8">
        <w:trPr>
          <w:gridBefore w:val="1"/>
          <w:cnfStyle w:val="000000100000" w:firstRow="0" w:lastRow="0" w:firstColumn="0" w:lastColumn="0" w:oddVBand="0" w:evenVBand="0" w:oddHBand="1" w:evenHBand="0" w:firstRowFirstColumn="0" w:firstRowLastColumn="0" w:lastRowFirstColumn="0" w:lastRowLastColumn="0"/>
          <w:wBefore w:w="237" w:type="dxa"/>
          <w:trHeight w:val="230"/>
        </w:trPr>
        <w:tc>
          <w:tcPr>
            <w:cnfStyle w:val="001000000000" w:firstRow="0" w:lastRow="0" w:firstColumn="1" w:lastColumn="0" w:oddVBand="0" w:evenVBand="0" w:oddHBand="0" w:evenHBand="0" w:firstRowFirstColumn="0" w:firstRowLastColumn="0" w:lastRowFirstColumn="0" w:lastRowLastColumn="0"/>
            <w:tcW w:w="4860" w:type="dxa"/>
            <w:noWrap/>
            <w:hideMark/>
          </w:tcPr>
          <w:p w14:paraId="0289C526" w14:textId="77777777" w:rsidR="00C33EB8" w:rsidRPr="00646952" w:rsidRDefault="00C33EB8" w:rsidP="00C33EB8">
            <w:pPr>
              <w:pStyle w:val="Tabelid"/>
              <w:rPr>
                <w:b w:val="0"/>
              </w:rPr>
            </w:pPr>
            <w:r w:rsidRPr="00646952">
              <w:rPr>
                <w:b w:val="0"/>
              </w:rPr>
              <w:t>Keskvalitsus</w:t>
            </w:r>
          </w:p>
        </w:tc>
        <w:tc>
          <w:tcPr>
            <w:tcW w:w="802" w:type="dxa"/>
            <w:noWrap/>
            <w:vAlign w:val="center"/>
            <w:hideMark/>
          </w:tcPr>
          <w:p w14:paraId="7A5CE4E5" w14:textId="09219860"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rFonts w:cs="Calibri"/>
                <w:color w:val="000000"/>
                <w:lang w:eastAsia="en-US"/>
              </w:rPr>
              <w:t>-1 027</w:t>
            </w:r>
          </w:p>
        </w:tc>
        <w:tc>
          <w:tcPr>
            <w:tcW w:w="802" w:type="dxa"/>
            <w:noWrap/>
            <w:vAlign w:val="center"/>
            <w:hideMark/>
          </w:tcPr>
          <w:p w14:paraId="58C617D5" w14:textId="5BBC0E1F"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rFonts w:cs="Calibri"/>
                <w:color w:val="000000"/>
                <w:lang w:eastAsia="en-US"/>
              </w:rPr>
              <w:t>-1 057</w:t>
            </w:r>
          </w:p>
        </w:tc>
        <w:tc>
          <w:tcPr>
            <w:tcW w:w="802" w:type="dxa"/>
            <w:noWrap/>
            <w:vAlign w:val="center"/>
            <w:hideMark/>
          </w:tcPr>
          <w:p w14:paraId="428D33D9" w14:textId="5B33F63C"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rFonts w:cs="Calibri"/>
                <w:color w:val="000000"/>
                <w:lang w:eastAsia="en-US"/>
              </w:rPr>
              <w:t>-1 043</w:t>
            </w:r>
          </w:p>
        </w:tc>
        <w:tc>
          <w:tcPr>
            <w:tcW w:w="802" w:type="dxa"/>
            <w:noWrap/>
            <w:vAlign w:val="center"/>
          </w:tcPr>
          <w:p w14:paraId="3E0AF422" w14:textId="31828A3C"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rFonts w:cs="Calibri"/>
                <w:color w:val="000000"/>
                <w:lang w:eastAsia="en-US"/>
              </w:rPr>
              <w:t>45</w:t>
            </w:r>
          </w:p>
        </w:tc>
        <w:tc>
          <w:tcPr>
            <w:tcW w:w="802" w:type="dxa"/>
            <w:noWrap/>
            <w:vAlign w:val="center"/>
          </w:tcPr>
          <w:p w14:paraId="45449032" w14:textId="62FD4F4D"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rFonts w:cs="Calibri"/>
                <w:color w:val="000000"/>
                <w:lang w:eastAsia="en-US"/>
              </w:rPr>
              <w:t>57</w:t>
            </w:r>
          </w:p>
        </w:tc>
        <w:tc>
          <w:tcPr>
            <w:tcW w:w="802" w:type="dxa"/>
            <w:noWrap/>
            <w:vAlign w:val="center"/>
          </w:tcPr>
          <w:p w14:paraId="725CB1D1" w14:textId="5E708B97"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rFonts w:cs="Calibri"/>
                <w:color w:val="000000"/>
                <w:lang w:eastAsia="en-US"/>
              </w:rPr>
              <w:t>60</w:t>
            </w:r>
          </w:p>
        </w:tc>
      </w:tr>
      <w:tr w:rsidR="00C33EB8" w:rsidRPr="00646952" w14:paraId="1F71445E" w14:textId="77777777" w:rsidTr="00C33EB8">
        <w:trPr>
          <w:gridBefore w:val="1"/>
          <w:wBefore w:w="237" w:type="dxa"/>
          <w:trHeight w:val="266"/>
        </w:trPr>
        <w:tc>
          <w:tcPr>
            <w:cnfStyle w:val="001000000000" w:firstRow="0" w:lastRow="0" w:firstColumn="1" w:lastColumn="0" w:oddVBand="0" w:evenVBand="0" w:oddHBand="0" w:evenHBand="0" w:firstRowFirstColumn="0" w:firstRowLastColumn="0" w:lastRowFirstColumn="0" w:lastRowLastColumn="0"/>
            <w:tcW w:w="4860" w:type="dxa"/>
          </w:tcPr>
          <w:p w14:paraId="54646269" w14:textId="77777777" w:rsidR="00C33EB8" w:rsidRPr="00646952" w:rsidRDefault="00C33EB8" w:rsidP="00C33EB8">
            <w:pPr>
              <w:pStyle w:val="Tabelid"/>
              <w:rPr>
                <w:b w:val="0"/>
              </w:rPr>
            </w:pPr>
            <w:r w:rsidRPr="00646952">
              <w:rPr>
                <w:b w:val="0"/>
              </w:rPr>
              <w:t>Sotsiaalkindlustusfondid</w:t>
            </w:r>
          </w:p>
        </w:tc>
        <w:tc>
          <w:tcPr>
            <w:tcW w:w="802" w:type="dxa"/>
            <w:noWrap/>
            <w:vAlign w:val="center"/>
          </w:tcPr>
          <w:p w14:paraId="2A20360E" w14:textId="4356C88A" w:rsidR="00C33EB8" w:rsidRPr="00646952" w:rsidRDefault="00C33EB8" w:rsidP="00C33EB8">
            <w:pPr>
              <w:pStyle w:val="Tabelid"/>
              <w:jc w:val="right"/>
              <w:cnfStyle w:val="000000000000" w:firstRow="0" w:lastRow="0" w:firstColumn="0" w:lastColumn="0" w:oddVBand="0" w:evenVBand="0" w:oddHBand="0" w:evenHBand="0" w:firstRowFirstColumn="0" w:firstRowLastColumn="0" w:lastRowFirstColumn="0" w:lastRowLastColumn="0"/>
            </w:pPr>
            <w:r w:rsidRPr="00646952">
              <w:rPr>
                <w:rFonts w:cs="Calibri"/>
                <w:color w:val="000000"/>
                <w:lang w:eastAsia="en-US"/>
              </w:rPr>
              <w:t>-7</w:t>
            </w:r>
          </w:p>
        </w:tc>
        <w:tc>
          <w:tcPr>
            <w:tcW w:w="802" w:type="dxa"/>
            <w:noWrap/>
            <w:vAlign w:val="center"/>
          </w:tcPr>
          <w:p w14:paraId="30C67DBF" w14:textId="1882FD26" w:rsidR="00C33EB8" w:rsidRPr="00646952" w:rsidRDefault="00C33EB8" w:rsidP="00C33EB8">
            <w:pPr>
              <w:pStyle w:val="Tabelid"/>
              <w:jc w:val="right"/>
              <w:cnfStyle w:val="000000000000" w:firstRow="0" w:lastRow="0" w:firstColumn="0" w:lastColumn="0" w:oddVBand="0" w:evenVBand="0" w:oddHBand="0" w:evenHBand="0" w:firstRowFirstColumn="0" w:firstRowLastColumn="0" w:lastRowFirstColumn="0" w:lastRowLastColumn="0"/>
            </w:pPr>
            <w:r w:rsidRPr="00646952">
              <w:rPr>
                <w:rFonts w:cs="Calibri"/>
                <w:color w:val="000000"/>
                <w:lang w:eastAsia="en-US"/>
              </w:rPr>
              <w:t>71</w:t>
            </w:r>
          </w:p>
        </w:tc>
        <w:tc>
          <w:tcPr>
            <w:tcW w:w="802" w:type="dxa"/>
            <w:noWrap/>
            <w:vAlign w:val="center"/>
          </w:tcPr>
          <w:p w14:paraId="49D2C6E0" w14:textId="662046E4" w:rsidR="00C33EB8" w:rsidRPr="00646952" w:rsidRDefault="00C33EB8" w:rsidP="00C33EB8">
            <w:pPr>
              <w:pStyle w:val="Tabelid"/>
              <w:jc w:val="right"/>
              <w:cnfStyle w:val="000000000000" w:firstRow="0" w:lastRow="0" w:firstColumn="0" w:lastColumn="0" w:oddVBand="0" w:evenVBand="0" w:oddHBand="0" w:evenHBand="0" w:firstRowFirstColumn="0" w:firstRowLastColumn="0" w:lastRowFirstColumn="0" w:lastRowLastColumn="0"/>
            </w:pPr>
            <w:r w:rsidRPr="00646952">
              <w:rPr>
                <w:rFonts w:cs="Calibri"/>
                <w:color w:val="000000"/>
                <w:lang w:eastAsia="en-US"/>
              </w:rPr>
              <w:t>62</w:t>
            </w:r>
          </w:p>
        </w:tc>
        <w:tc>
          <w:tcPr>
            <w:tcW w:w="802" w:type="dxa"/>
            <w:noWrap/>
            <w:vAlign w:val="center"/>
          </w:tcPr>
          <w:p w14:paraId="36246BF2" w14:textId="34BAC611" w:rsidR="00C33EB8" w:rsidRPr="00646952" w:rsidRDefault="00C33EB8" w:rsidP="00C33EB8">
            <w:pPr>
              <w:pStyle w:val="Tabelid"/>
              <w:jc w:val="right"/>
              <w:cnfStyle w:val="000000000000" w:firstRow="0" w:lastRow="0" w:firstColumn="0" w:lastColumn="0" w:oddVBand="0" w:evenVBand="0" w:oddHBand="0" w:evenHBand="0" w:firstRowFirstColumn="0" w:firstRowLastColumn="0" w:lastRowFirstColumn="0" w:lastRowLastColumn="0"/>
            </w:pPr>
            <w:r w:rsidRPr="00646952">
              <w:rPr>
                <w:rFonts w:cs="Calibri"/>
                <w:color w:val="000000"/>
                <w:lang w:eastAsia="en-US"/>
              </w:rPr>
              <w:t>65</w:t>
            </w:r>
          </w:p>
        </w:tc>
        <w:tc>
          <w:tcPr>
            <w:tcW w:w="802" w:type="dxa"/>
            <w:noWrap/>
            <w:vAlign w:val="center"/>
          </w:tcPr>
          <w:p w14:paraId="2E4E0452" w14:textId="3D4C72BF" w:rsidR="00C33EB8" w:rsidRPr="00646952" w:rsidRDefault="00C33EB8" w:rsidP="00C33EB8">
            <w:pPr>
              <w:pStyle w:val="Tabelid"/>
              <w:jc w:val="right"/>
              <w:cnfStyle w:val="000000000000" w:firstRow="0" w:lastRow="0" w:firstColumn="0" w:lastColumn="0" w:oddVBand="0" w:evenVBand="0" w:oddHBand="0" w:evenHBand="0" w:firstRowFirstColumn="0" w:firstRowLastColumn="0" w:lastRowFirstColumn="0" w:lastRowLastColumn="0"/>
            </w:pPr>
            <w:r w:rsidRPr="00646952">
              <w:rPr>
                <w:rFonts w:cs="Calibri"/>
                <w:color w:val="000000"/>
                <w:lang w:eastAsia="en-US"/>
              </w:rPr>
              <w:t>103</w:t>
            </w:r>
          </w:p>
        </w:tc>
        <w:tc>
          <w:tcPr>
            <w:tcW w:w="802" w:type="dxa"/>
            <w:noWrap/>
            <w:vAlign w:val="center"/>
          </w:tcPr>
          <w:p w14:paraId="02089CBA" w14:textId="2F05DD9C" w:rsidR="00C33EB8" w:rsidRPr="00646952" w:rsidRDefault="00C33EB8" w:rsidP="00C33EB8">
            <w:pPr>
              <w:pStyle w:val="Tabelid"/>
              <w:jc w:val="right"/>
              <w:cnfStyle w:val="000000000000" w:firstRow="0" w:lastRow="0" w:firstColumn="0" w:lastColumn="0" w:oddVBand="0" w:evenVBand="0" w:oddHBand="0" w:evenHBand="0" w:firstRowFirstColumn="0" w:firstRowLastColumn="0" w:lastRowFirstColumn="0" w:lastRowLastColumn="0"/>
            </w:pPr>
            <w:r w:rsidRPr="00646952">
              <w:rPr>
                <w:rFonts w:cs="Calibri"/>
                <w:color w:val="000000"/>
                <w:lang w:eastAsia="en-US"/>
              </w:rPr>
              <w:t>107</w:t>
            </w:r>
          </w:p>
        </w:tc>
      </w:tr>
      <w:tr w:rsidR="00C33EB8" w:rsidRPr="00646952" w14:paraId="6616388D" w14:textId="77777777" w:rsidTr="00C33EB8">
        <w:trPr>
          <w:gridBefore w:val="1"/>
          <w:cnfStyle w:val="000000100000" w:firstRow="0" w:lastRow="0" w:firstColumn="0" w:lastColumn="0" w:oddVBand="0" w:evenVBand="0" w:oddHBand="1" w:evenHBand="0" w:firstRowFirstColumn="0" w:firstRowLastColumn="0" w:lastRowFirstColumn="0" w:lastRowLastColumn="0"/>
          <w:wBefore w:w="237" w:type="dxa"/>
          <w:trHeight w:val="266"/>
        </w:trPr>
        <w:tc>
          <w:tcPr>
            <w:cnfStyle w:val="001000000000" w:firstRow="0" w:lastRow="0" w:firstColumn="1" w:lastColumn="0" w:oddVBand="0" w:evenVBand="0" w:oddHBand="0" w:evenHBand="0" w:firstRowFirstColumn="0" w:firstRowLastColumn="0" w:lastRowFirstColumn="0" w:lastRowLastColumn="0"/>
            <w:tcW w:w="4860" w:type="dxa"/>
            <w:noWrap/>
            <w:hideMark/>
          </w:tcPr>
          <w:p w14:paraId="575897DA" w14:textId="77777777" w:rsidR="00C33EB8" w:rsidRPr="00646952" w:rsidRDefault="00C33EB8" w:rsidP="00C33EB8">
            <w:pPr>
              <w:pStyle w:val="Tabelid"/>
              <w:rPr>
                <w:b w:val="0"/>
              </w:rPr>
            </w:pPr>
            <w:r w:rsidRPr="00646952">
              <w:rPr>
                <w:b w:val="0"/>
              </w:rPr>
              <w:t>Kohalikud omavalitsused</w:t>
            </w:r>
          </w:p>
        </w:tc>
        <w:tc>
          <w:tcPr>
            <w:tcW w:w="802" w:type="dxa"/>
            <w:noWrap/>
            <w:vAlign w:val="center"/>
            <w:hideMark/>
          </w:tcPr>
          <w:p w14:paraId="7CC65E88" w14:textId="404BF9BE"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rFonts w:cs="Calibri"/>
                <w:color w:val="000000"/>
                <w:lang w:eastAsia="en-US"/>
              </w:rPr>
              <w:t>-74</w:t>
            </w:r>
          </w:p>
        </w:tc>
        <w:tc>
          <w:tcPr>
            <w:tcW w:w="802" w:type="dxa"/>
            <w:noWrap/>
            <w:vAlign w:val="center"/>
            <w:hideMark/>
          </w:tcPr>
          <w:p w14:paraId="61258D87" w14:textId="74C6FBBB"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rFonts w:cs="Calibri"/>
                <w:color w:val="000000"/>
                <w:lang w:eastAsia="en-US"/>
              </w:rPr>
              <w:t>-71</w:t>
            </w:r>
          </w:p>
        </w:tc>
        <w:tc>
          <w:tcPr>
            <w:tcW w:w="802" w:type="dxa"/>
            <w:noWrap/>
            <w:vAlign w:val="center"/>
            <w:hideMark/>
          </w:tcPr>
          <w:p w14:paraId="78B35346" w14:textId="6A4AE9C6"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rFonts w:cs="Calibri"/>
                <w:color w:val="000000"/>
                <w:lang w:eastAsia="en-US"/>
              </w:rPr>
              <w:t>-40</w:t>
            </w:r>
          </w:p>
        </w:tc>
        <w:tc>
          <w:tcPr>
            <w:tcW w:w="802" w:type="dxa"/>
            <w:noWrap/>
            <w:vAlign w:val="center"/>
          </w:tcPr>
          <w:p w14:paraId="128E9F77" w14:textId="654A210D"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rFonts w:cs="Calibri"/>
                <w:color w:val="000000"/>
                <w:lang w:eastAsia="en-US"/>
              </w:rPr>
              <w:t>30</w:t>
            </w:r>
          </w:p>
        </w:tc>
        <w:tc>
          <w:tcPr>
            <w:tcW w:w="802" w:type="dxa"/>
            <w:noWrap/>
            <w:vAlign w:val="center"/>
          </w:tcPr>
          <w:p w14:paraId="0488559A" w14:textId="07888F5E"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rFonts w:cs="Calibri"/>
                <w:color w:val="000000"/>
                <w:lang w:eastAsia="en-US"/>
              </w:rPr>
              <w:t>49</w:t>
            </w:r>
          </w:p>
        </w:tc>
        <w:tc>
          <w:tcPr>
            <w:tcW w:w="802" w:type="dxa"/>
            <w:noWrap/>
            <w:vAlign w:val="center"/>
          </w:tcPr>
          <w:p w14:paraId="7D489F5A" w14:textId="7A52CE23"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rFonts w:cs="Calibri"/>
                <w:color w:val="000000"/>
                <w:lang w:eastAsia="en-US"/>
              </w:rPr>
              <w:t>66</w:t>
            </w:r>
          </w:p>
        </w:tc>
      </w:tr>
      <w:tr w:rsidR="00C33EB8" w:rsidRPr="00646952" w14:paraId="7068B8CE" w14:textId="77777777" w:rsidTr="00C33EB8">
        <w:trPr>
          <w:gridBefore w:val="1"/>
          <w:wBefore w:w="237" w:type="dxa"/>
          <w:trHeight w:val="266"/>
        </w:trPr>
        <w:tc>
          <w:tcPr>
            <w:cnfStyle w:val="001000000000" w:firstRow="0" w:lastRow="0" w:firstColumn="1" w:lastColumn="0" w:oddVBand="0" w:evenVBand="0" w:oddHBand="0" w:evenHBand="0" w:firstRowFirstColumn="0" w:firstRowLastColumn="0" w:lastRowFirstColumn="0" w:lastRowLastColumn="0"/>
            <w:tcW w:w="4860" w:type="dxa"/>
          </w:tcPr>
          <w:p w14:paraId="7D8478F9" w14:textId="77777777" w:rsidR="00C33EB8" w:rsidRPr="00646952" w:rsidRDefault="00C33EB8" w:rsidP="00C33EB8">
            <w:pPr>
              <w:pStyle w:val="Tabelid"/>
            </w:pPr>
            <w:r w:rsidRPr="00646952">
              <w:t>Valitsussektori eelarve</w:t>
            </w:r>
            <w:r w:rsidRPr="00646952">
              <w:softHyphen/>
              <w:t>positsioon (% SKPst)</w:t>
            </w:r>
          </w:p>
        </w:tc>
        <w:tc>
          <w:tcPr>
            <w:tcW w:w="802" w:type="dxa"/>
            <w:noWrap/>
            <w:vAlign w:val="center"/>
          </w:tcPr>
          <w:p w14:paraId="5E21DD0B" w14:textId="5D3018E3" w:rsidR="00C33EB8" w:rsidRPr="00646952" w:rsidRDefault="00C33EB8" w:rsidP="00C33EB8">
            <w:pPr>
              <w:pStyle w:val="Tabelid"/>
              <w:jc w:val="right"/>
              <w:cnfStyle w:val="000000000000" w:firstRow="0" w:lastRow="0" w:firstColumn="0" w:lastColumn="0" w:oddVBand="0" w:evenVBand="0" w:oddHBand="0" w:evenHBand="0" w:firstRowFirstColumn="0" w:firstRowLastColumn="0" w:lastRowFirstColumn="0" w:lastRowLastColumn="0"/>
              <w:rPr>
                <w:b/>
              </w:rPr>
            </w:pPr>
            <w:r w:rsidRPr="00646952">
              <w:rPr>
                <w:rFonts w:cs="Calibri"/>
                <w:b/>
                <w:bCs/>
                <w:color w:val="000000"/>
                <w:lang w:eastAsia="en-US"/>
              </w:rPr>
              <w:t>-3,3</w:t>
            </w:r>
          </w:p>
        </w:tc>
        <w:tc>
          <w:tcPr>
            <w:tcW w:w="802" w:type="dxa"/>
            <w:noWrap/>
            <w:vAlign w:val="center"/>
          </w:tcPr>
          <w:p w14:paraId="5429E11C" w14:textId="065CCB31" w:rsidR="00C33EB8" w:rsidRPr="00646952" w:rsidRDefault="00C33EB8" w:rsidP="00C33EB8">
            <w:pPr>
              <w:pStyle w:val="Tabelid"/>
              <w:jc w:val="right"/>
              <w:cnfStyle w:val="000000000000" w:firstRow="0" w:lastRow="0" w:firstColumn="0" w:lastColumn="0" w:oddVBand="0" w:evenVBand="0" w:oddHBand="0" w:evenHBand="0" w:firstRowFirstColumn="0" w:firstRowLastColumn="0" w:lastRowFirstColumn="0" w:lastRowLastColumn="0"/>
              <w:rPr>
                <w:b/>
              </w:rPr>
            </w:pPr>
            <w:r w:rsidRPr="00646952">
              <w:rPr>
                <w:rFonts w:cs="Calibri"/>
                <w:b/>
                <w:bCs/>
                <w:color w:val="000000"/>
                <w:lang w:eastAsia="en-US"/>
              </w:rPr>
              <w:t>-3,0</w:t>
            </w:r>
          </w:p>
        </w:tc>
        <w:tc>
          <w:tcPr>
            <w:tcW w:w="802" w:type="dxa"/>
            <w:noWrap/>
            <w:vAlign w:val="center"/>
          </w:tcPr>
          <w:p w14:paraId="65ADE183" w14:textId="5EF88BC4" w:rsidR="00C33EB8" w:rsidRPr="00646952" w:rsidRDefault="00C33EB8" w:rsidP="00C33EB8">
            <w:pPr>
              <w:pStyle w:val="Tabelid"/>
              <w:jc w:val="right"/>
              <w:cnfStyle w:val="000000000000" w:firstRow="0" w:lastRow="0" w:firstColumn="0" w:lastColumn="0" w:oddVBand="0" w:evenVBand="0" w:oddHBand="0" w:evenHBand="0" w:firstRowFirstColumn="0" w:firstRowLastColumn="0" w:lastRowFirstColumn="0" w:lastRowLastColumn="0"/>
            </w:pPr>
            <w:r w:rsidRPr="00646952">
              <w:rPr>
                <w:rFonts w:cs="Calibri"/>
                <w:b/>
                <w:bCs/>
                <w:color w:val="000000"/>
                <w:lang w:eastAsia="en-US"/>
              </w:rPr>
              <w:t>-2,8</w:t>
            </w:r>
          </w:p>
        </w:tc>
        <w:tc>
          <w:tcPr>
            <w:tcW w:w="802" w:type="dxa"/>
            <w:noWrap/>
            <w:vAlign w:val="center"/>
          </w:tcPr>
          <w:p w14:paraId="5AB13F79" w14:textId="07877728" w:rsidR="00C33EB8" w:rsidRPr="00646952" w:rsidRDefault="00C33EB8" w:rsidP="00C33EB8">
            <w:pPr>
              <w:pStyle w:val="Tabelid"/>
              <w:jc w:val="right"/>
              <w:cnfStyle w:val="000000000000" w:firstRow="0" w:lastRow="0" w:firstColumn="0" w:lastColumn="0" w:oddVBand="0" w:evenVBand="0" w:oddHBand="0" w:evenHBand="0" w:firstRowFirstColumn="0" w:firstRowLastColumn="0" w:lastRowFirstColumn="0" w:lastRowLastColumn="0"/>
            </w:pPr>
            <w:r w:rsidRPr="00646952">
              <w:rPr>
                <w:rFonts w:cs="Calibri"/>
                <w:b/>
                <w:bCs/>
                <w:color w:val="000000"/>
                <w:lang w:eastAsia="en-US"/>
              </w:rPr>
              <w:t>0,5</w:t>
            </w:r>
          </w:p>
        </w:tc>
        <w:tc>
          <w:tcPr>
            <w:tcW w:w="802" w:type="dxa"/>
            <w:noWrap/>
            <w:vAlign w:val="center"/>
          </w:tcPr>
          <w:p w14:paraId="5CDCD97A" w14:textId="6CBD6214" w:rsidR="00C33EB8" w:rsidRPr="00646952" w:rsidRDefault="00C33EB8" w:rsidP="00C33EB8">
            <w:pPr>
              <w:pStyle w:val="Tabelid"/>
              <w:jc w:val="right"/>
              <w:cnfStyle w:val="000000000000" w:firstRow="0" w:lastRow="0" w:firstColumn="0" w:lastColumn="0" w:oddVBand="0" w:evenVBand="0" w:oddHBand="0" w:evenHBand="0" w:firstRowFirstColumn="0" w:firstRowLastColumn="0" w:lastRowFirstColumn="0" w:lastRowLastColumn="0"/>
            </w:pPr>
            <w:r w:rsidRPr="00646952">
              <w:rPr>
                <w:rFonts w:cs="Calibri"/>
                <w:b/>
                <w:bCs/>
                <w:color w:val="000000"/>
                <w:lang w:eastAsia="en-US"/>
              </w:rPr>
              <w:t>0,7</w:t>
            </w:r>
          </w:p>
        </w:tc>
        <w:tc>
          <w:tcPr>
            <w:tcW w:w="802" w:type="dxa"/>
            <w:noWrap/>
            <w:vAlign w:val="center"/>
          </w:tcPr>
          <w:p w14:paraId="1F8FF2F7" w14:textId="0654BF28" w:rsidR="00C33EB8" w:rsidRPr="00646952" w:rsidRDefault="00C33EB8" w:rsidP="00C33EB8">
            <w:pPr>
              <w:pStyle w:val="Tabelid"/>
              <w:jc w:val="right"/>
              <w:cnfStyle w:val="000000000000" w:firstRow="0" w:lastRow="0" w:firstColumn="0" w:lastColumn="0" w:oddVBand="0" w:evenVBand="0" w:oddHBand="0" w:evenHBand="0" w:firstRowFirstColumn="0" w:firstRowLastColumn="0" w:lastRowFirstColumn="0" w:lastRowLastColumn="0"/>
              <w:rPr>
                <w:b/>
              </w:rPr>
            </w:pPr>
            <w:r w:rsidRPr="00646952">
              <w:rPr>
                <w:rFonts w:cs="Calibri"/>
                <w:b/>
                <w:bCs/>
                <w:color w:val="000000"/>
                <w:lang w:eastAsia="en-US"/>
              </w:rPr>
              <w:t>0,7</w:t>
            </w:r>
          </w:p>
        </w:tc>
      </w:tr>
      <w:tr w:rsidR="00C33EB8" w:rsidRPr="00646952" w14:paraId="1C13A423" w14:textId="77777777" w:rsidTr="00C33EB8">
        <w:trPr>
          <w:gridBefore w:val="1"/>
          <w:cnfStyle w:val="000000100000" w:firstRow="0" w:lastRow="0" w:firstColumn="0" w:lastColumn="0" w:oddVBand="0" w:evenVBand="0" w:oddHBand="1" w:evenHBand="0" w:firstRowFirstColumn="0" w:firstRowLastColumn="0" w:lastRowFirstColumn="0" w:lastRowLastColumn="0"/>
          <w:wBefore w:w="237" w:type="dxa"/>
          <w:trHeight w:val="217"/>
        </w:trPr>
        <w:tc>
          <w:tcPr>
            <w:cnfStyle w:val="001000000000" w:firstRow="0" w:lastRow="0" w:firstColumn="1" w:lastColumn="0" w:oddVBand="0" w:evenVBand="0" w:oddHBand="0" w:evenHBand="0" w:firstRowFirstColumn="0" w:firstRowLastColumn="0" w:lastRowFirstColumn="0" w:lastRowLastColumn="0"/>
            <w:tcW w:w="4860" w:type="dxa"/>
            <w:noWrap/>
            <w:hideMark/>
          </w:tcPr>
          <w:p w14:paraId="7C86B72F" w14:textId="77777777" w:rsidR="00C33EB8" w:rsidRPr="00646952" w:rsidRDefault="00C33EB8" w:rsidP="00C33EB8">
            <w:pPr>
              <w:pStyle w:val="Tabelid"/>
              <w:rPr>
                <w:b w:val="0"/>
              </w:rPr>
            </w:pPr>
            <w:r w:rsidRPr="00646952">
              <w:rPr>
                <w:b w:val="0"/>
              </w:rPr>
              <w:t>Keskvalitsus</w:t>
            </w:r>
          </w:p>
        </w:tc>
        <w:tc>
          <w:tcPr>
            <w:tcW w:w="802" w:type="dxa"/>
            <w:noWrap/>
            <w:vAlign w:val="center"/>
          </w:tcPr>
          <w:p w14:paraId="572E8C1F" w14:textId="1C3C8BBA"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rFonts w:cs="Calibri"/>
                <w:color w:val="000000"/>
                <w:lang w:eastAsia="en-US"/>
              </w:rPr>
              <w:t>-3,1</w:t>
            </w:r>
          </w:p>
        </w:tc>
        <w:tc>
          <w:tcPr>
            <w:tcW w:w="802" w:type="dxa"/>
            <w:noWrap/>
            <w:vAlign w:val="center"/>
          </w:tcPr>
          <w:p w14:paraId="2FC25974" w14:textId="14E823F4"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rFonts w:cs="Calibri"/>
                <w:color w:val="000000"/>
                <w:lang w:eastAsia="en-US"/>
              </w:rPr>
              <w:t>-3,0</w:t>
            </w:r>
          </w:p>
        </w:tc>
        <w:tc>
          <w:tcPr>
            <w:tcW w:w="802" w:type="dxa"/>
            <w:noWrap/>
            <w:vAlign w:val="center"/>
          </w:tcPr>
          <w:p w14:paraId="4DEE88F6" w14:textId="35435E68"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rFonts w:cs="Calibri"/>
                <w:color w:val="000000"/>
                <w:lang w:eastAsia="en-US"/>
              </w:rPr>
              <w:t>-2,8</w:t>
            </w:r>
          </w:p>
        </w:tc>
        <w:tc>
          <w:tcPr>
            <w:tcW w:w="802" w:type="dxa"/>
            <w:noWrap/>
            <w:vAlign w:val="center"/>
          </w:tcPr>
          <w:p w14:paraId="53092CB1" w14:textId="5D5D6502"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rFonts w:cs="Calibri"/>
                <w:color w:val="000000"/>
                <w:lang w:eastAsia="en-US"/>
              </w:rPr>
              <w:t>0,2</w:t>
            </w:r>
          </w:p>
        </w:tc>
        <w:tc>
          <w:tcPr>
            <w:tcW w:w="802" w:type="dxa"/>
            <w:noWrap/>
            <w:vAlign w:val="center"/>
          </w:tcPr>
          <w:p w14:paraId="22046EA6" w14:textId="0418B1D0"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rFonts w:cs="Calibri"/>
                <w:color w:val="000000"/>
                <w:lang w:eastAsia="en-US"/>
              </w:rPr>
              <w:t>0,2</w:t>
            </w:r>
          </w:p>
        </w:tc>
        <w:tc>
          <w:tcPr>
            <w:tcW w:w="802" w:type="dxa"/>
            <w:noWrap/>
            <w:vAlign w:val="center"/>
          </w:tcPr>
          <w:p w14:paraId="1F15A2CF" w14:textId="3F557BFB"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rFonts w:cs="Calibri"/>
                <w:color w:val="000000"/>
                <w:lang w:eastAsia="en-US"/>
              </w:rPr>
              <w:t>0,3</w:t>
            </w:r>
          </w:p>
        </w:tc>
      </w:tr>
      <w:tr w:rsidR="00C33EB8" w:rsidRPr="00646952" w14:paraId="2C52505F" w14:textId="77777777" w:rsidTr="00C33EB8">
        <w:trPr>
          <w:gridBefore w:val="1"/>
          <w:wBefore w:w="237" w:type="dxa"/>
          <w:trHeight w:val="266"/>
        </w:trPr>
        <w:tc>
          <w:tcPr>
            <w:cnfStyle w:val="001000000000" w:firstRow="0" w:lastRow="0" w:firstColumn="1" w:lastColumn="0" w:oddVBand="0" w:evenVBand="0" w:oddHBand="0" w:evenHBand="0" w:firstRowFirstColumn="0" w:firstRowLastColumn="0" w:lastRowFirstColumn="0" w:lastRowLastColumn="0"/>
            <w:tcW w:w="4860" w:type="dxa"/>
          </w:tcPr>
          <w:p w14:paraId="388C8A63" w14:textId="77777777" w:rsidR="00C33EB8" w:rsidRPr="00646952" w:rsidRDefault="00C33EB8" w:rsidP="00C33EB8">
            <w:pPr>
              <w:pStyle w:val="Tabelid"/>
              <w:rPr>
                <w:b w:val="0"/>
              </w:rPr>
            </w:pPr>
            <w:r w:rsidRPr="00646952">
              <w:rPr>
                <w:b w:val="0"/>
              </w:rPr>
              <w:t>Sotsiaalkindlustusfondid</w:t>
            </w:r>
          </w:p>
        </w:tc>
        <w:tc>
          <w:tcPr>
            <w:tcW w:w="802" w:type="dxa"/>
            <w:noWrap/>
            <w:vAlign w:val="center"/>
          </w:tcPr>
          <w:p w14:paraId="02A5D03C" w14:textId="7B5F6D60" w:rsidR="00C33EB8" w:rsidRPr="00646952" w:rsidRDefault="00C33EB8" w:rsidP="00C33EB8">
            <w:pPr>
              <w:pStyle w:val="Tabelid"/>
              <w:jc w:val="right"/>
              <w:cnfStyle w:val="000000000000" w:firstRow="0" w:lastRow="0" w:firstColumn="0" w:lastColumn="0" w:oddVBand="0" w:evenVBand="0" w:oddHBand="0" w:evenHBand="0" w:firstRowFirstColumn="0" w:firstRowLastColumn="0" w:lastRowFirstColumn="0" w:lastRowLastColumn="0"/>
            </w:pPr>
            <w:r w:rsidRPr="00646952">
              <w:rPr>
                <w:rFonts w:cs="Calibri"/>
                <w:color w:val="000000"/>
                <w:lang w:eastAsia="en-US"/>
              </w:rPr>
              <w:t>0,0</w:t>
            </w:r>
          </w:p>
        </w:tc>
        <w:tc>
          <w:tcPr>
            <w:tcW w:w="802" w:type="dxa"/>
            <w:noWrap/>
            <w:vAlign w:val="center"/>
          </w:tcPr>
          <w:p w14:paraId="2E32403A" w14:textId="26F83596" w:rsidR="00C33EB8" w:rsidRPr="00646952" w:rsidRDefault="00C33EB8" w:rsidP="00C33EB8">
            <w:pPr>
              <w:pStyle w:val="Tabelid"/>
              <w:jc w:val="right"/>
              <w:cnfStyle w:val="000000000000" w:firstRow="0" w:lastRow="0" w:firstColumn="0" w:lastColumn="0" w:oddVBand="0" w:evenVBand="0" w:oddHBand="0" w:evenHBand="0" w:firstRowFirstColumn="0" w:firstRowLastColumn="0" w:lastRowFirstColumn="0" w:lastRowLastColumn="0"/>
            </w:pPr>
            <w:r w:rsidRPr="00646952">
              <w:rPr>
                <w:rFonts w:cs="Calibri"/>
                <w:color w:val="000000"/>
                <w:lang w:eastAsia="en-US"/>
              </w:rPr>
              <w:t>0,2</w:t>
            </w:r>
          </w:p>
        </w:tc>
        <w:tc>
          <w:tcPr>
            <w:tcW w:w="802" w:type="dxa"/>
            <w:noWrap/>
            <w:vAlign w:val="center"/>
          </w:tcPr>
          <w:p w14:paraId="58D6ADEA" w14:textId="15FFAB5C" w:rsidR="00C33EB8" w:rsidRPr="00646952" w:rsidRDefault="00C33EB8" w:rsidP="00C33EB8">
            <w:pPr>
              <w:pStyle w:val="Tabelid"/>
              <w:jc w:val="right"/>
              <w:cnfStyle w:val="000000000000" w:firstRow="0" w:lastRow="0" w:firstColumn="0" w:lastColumn="0" w:oddVBand="0" w:evenVBand="0" w:oddHBand="0" w:evenHBand="0" w:firstRowFirstColumn="0" w:firstRowLastColumn="0" w:lastRowFirstColumn="0" w:lastRowLastColumn="0"/>
            </w:pPr>
            <w:r w:rsidRPr="00646952">
              <w:rPr>
                <w:rFonts w:cs="Calibri"/>
                <w:color w:val="000000"/>
                <w:lang w:eastAsia="en-US"/>
              </w:rPr>
              <w:t>0,2</w:t>
            </w:r>
          </w:p>
        </w:tc>
        <w:tc>
          <w:tcPr>
            <w:tcW w:w="802" w:type="dxa"/>
            <w:noWrap/>
            <w:vAlign w:val="center"/>
          </w:tcPr>
          <w:p w14:paraId="3EDAC75E" w14:textId="7EAE32A9" w:rsidR="00C33EB8" w:rsidRPr="00646952" w:rsidRDefault="00C33EB8" w:rsidP="00C33EB8">
            <w:pPr>
              <w:pStyle w:val="Tabelid"/>
              <w:jc w:val="right"/>
              <w:cnfStyle w:val="000000000000" w:firstRow="0" w:lastRow="0" w:firstColumn="0" w:lastColumn="0" w:oddVBand="0" w:evenVBand="0" w:oddHBand="0" w:evenHBand="0" w:firstRowFirstColumn="0" w:firstRowLastColumn="0" w:lastRowFirstColumn="0" w:lastRowLastColumn="0"/>
            </w:pPr>
            <w:r w:rsidRPr="00646952">
              <w:rPr>
                <w:rFonts w:cs="Calibri"/>
                <w:color w:val="000000"/>
                <w:lang w:eastAsia="en-US"/>
              </w:rPr>
              <w:t>0,2</w:t>
            </w:r>
          </w:p>
        </w:tc>
        <w:tc>
          <w:tcPr>
            <w:tcW w:w="802" w:type="dxa"/>
            <w:noWrap/>
            <w:vAlign w:val="center"/>
          </w:tcPr>
          <w:p w14:paraId="6A1F476C" w14:textId="0A306FD1" w:rsidR="00C33EB8" w:rsidRPr="00646952" w:rsidRDefault="00C33EB8" w:rsidP="00C33EB8">
            <w:pPr>
              <w:pStyle w:val="Tabelid"/>
              <w:jc w:val="right"/>
              <w:cnfStyle w:val="000000000000" w:firstRow="0" w:lastRow="0" w:firstColumn="0" w:lastColumn="0" w:oddVBand="0" w:evenVBand="0" w:oddHBand="0" w:evenHBand="0" w:firstRowFirstColumn="0" w:firstRowLastColumn="0" w:lastRowFirstColumn="0" w:lastRowLastColumn="0"/>
            </w:pPr>
            <w:r w:rsidRPr="00646952">
              <w:rPr>
                <w:rFonts w:cs="Calibri"/>
                <w:color w:val="000000"/>
                <w:lang w:eastAsia="en-US"/>
              </w:rPr>
              <w:t>0,3</w:t>
            </w:r>
          </w:p>
        </w:tc>
        <w:tc>
          <w:tcPr>
            <w:tcW w:w="802" w:type="dxa"/>
            <w:noWrap/>
            <w:vAlign w:val="center"/>
          </w:tcPr>
          <w:p w14:paraId="4D03F81D" w14:textId="136CD7B4" w:rsidR="00C33EB8" w:rsidRPr="00646952" w:rsidRDefault="00C33EB8" w:rsidP="00C33EB8">
            <w:pPr>
              <w:pStyle w:val="Tabelid"/>
              <w:jc w:val="right"/>
              <w:cnfStyle w:val="000000000000" w:firstRow="0" w:lastRow="0" w:firstColumn="0" w:lastColumn="0" w:oddVBand="0" w:evenVBand="0" w:oddHBand="0" w:evenHBand="0" w:firstRowFirstColumn="0" w:firstRowLastColumn="0" w:lastRowFirstColumn="0" w:lastRowLastColumn="0"/>
            </w:pPr>
            <w:r w:rsidRPr="00646952">
              <w:rPr>
                <w:rFonts w:cs="Calibri"/>
                <w:color w:val="000000"/>
                <w:lang w:eastAsia="en-US"/>
              </w:rPr>
              <w:t>0,3</w:t>
            </w:r>
          </w:p>
        </w:tc>
      </w:tr>
      <w:tr w:rsidR="00C33EB8" w:rsidRPr="009D6F1A" w14:paraId="0BA10793" w14:textId="77777777" w:rsidTr="00C33EB8">
        <w:trPr>
          <w:gridBefore w:val="1"/>
          <w:cnfStyle w:val="000000100000" w:firstRow="0" w:lastRow="0" w:firstColumn="0" w:lastColumn="0" w:oddVBand="0" w:evenVBand="0" w:oddHBand="1" w:evenHBand="0" w:firstRowFirstColumn="0" w:firstRowLastColumn="0" w:lastRowFirstColumn="0" w:lastRowLastColumn="0"/>
          <w:wBefore w:w="237" w:type="dxa"/>
          <w:trHeight w:val="266"/>
        </w:trPr>
        <w:tc>
          <w:tcPr>
            <w:cnfStyle w:val="001000000000" w:firstRow="0" w:lastRow="0" w:firstColumn="1" w:lastColumn="0" w:oddVBand="0" w:evenVBand="0" w:oddHBand="0" w:evenHBand="0" w:firstRowFirstColumn="0" w:firstRowLastColumn="0" w:lastRowFirstColumn="0" w:lastRowLastColumn="0"/>
            <w:tcW w:w="4860" w:type="dxa"/>
            <w:noWrap/>
            <w:hideMark/>
          </w:tcPr>
          <w:p w14:paraId="6CE20C33" w14:textId="77777777" w:rsidR="00C33EB8" w:rsidRPr="00646952" w:rsidRDefault="00C33EB8" w:rsidP="00C33EB8">
            <w:pPr>
              <w:pStyle w:val="Tabelid"/>
              <w:rPr>
                <w:b w:val="0"/>
              </w:rPr>
            </w:pPr>
            <w:r w:rsidRPr="00646952">
              <w:rPr>
                <w:b w:val="0"/>
              </w:rPr>
              <w:t>Kohalikud omavalitsused</w:t>
            </w:r>
          </w:p>
        </w:tc>
        <w:tc>
          <w:tcPr>
            <w:tcW w:w="802" w:type="dxa"/>
            <w:noWrap/>
            <w:vAlign w:val="center"/>
          </w:tcPr>
          <w:p w14:paraId="36FAE981" w14:textId="14064DC9"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rFonts w:cs="Calibri"/>
                <w:color w:val="000000"/>
                <w:lang w:eastAsia="en-US"/>
              </w:rPr>
              <w:t>-0,2</w:t>
            </w:r>
          </w:p>
        </w:tc>
        <w:tc>
          <w:tcPr>
            <w:tcW w:w="802" w:type="dxa"/>
            <w:noWrap/>
            <w:vAlign w:val="center"/>
          </w:tcPr>
          <w:p w14:paraId="52DCBFC5" w14:textId="28AE0CEA"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rFonts w:cs="Calibri"/>
                <w:color w:val="000000"/>
                <w:lang w:eastAsia="en-US"/>
              </w:rPr>
              <w:t>-0,2</w:t>
            </w:r>
          </w:p>
        </w:tc>
        <w:tc>
          <w:tcPr>
            <w:tcW w:w="802" w:type="dxa"/>
            <w:noWrap/>
            <w:vAlign w:val="center"/>
          </w:tcPr>
          <w:p w14:paraId="79B5D476" w14:textId="76B03FBB"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rFonts w:cs="Calibri"/>
                <w:color w:val="000000"/>
                <w:lang w:eastAsia="en-US"/>
              </w:rPr>
              <w:t>-0,1</w:t>
            </w:r>
          </w:p>
        </w:tc>
        <w:tc>
          <w:tcPr>
            <w:tcW w:w="802" w:type="dxa"/>
            <w:noWrap/>
            <w:vAlign w:val="center"/>
          </w:tcPr>
          <w:p w14:paraId="4FA4A249" w14:textId="60D5A90B"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rFonts w:cs="Calibri"/>
                <w:color w:val="000000"/>
                <w:lang w:eastAsia="en-US"/>
              </w:rPr>
              <w:t>0,1</w:t>
            </w:r>
          </w:p>
        </w:tc>
        <w:tc>
          <w:tcPr>
            <w:tcW w:w="802" w:type="dxa"/>
            <w:noWrap/>
            <w:vAlign w:val="center"/>
          </w:tcPr>
          <w:p w14:paraId="79F2A840" w14:textId="77BF9EA3" w:rsidR="00C33EB8" w:rsidRPr="00646952"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rFonts w:cs="Calibri"/>
                <w:color w:val="000000"/>
                <w:lang w:eastAsia="en-US"/>
              </w:rPr>
              <w:t>0,2</w:t>
            </w:r>
          </w:p>
        </w:tc>
        <w:tc>
          <w:tcPr>
            <w:tcW w:w="802" w:type="dxa"/>
            <w:noWrap/>
            <w:vAlign w:val="center"/>
          </w:tcPr>
          <w:p w14:paraId="6D2DA85E" w14:textId="5F3B6DBC" w:rsidR="00C33EB8" w:rsidRPr="009D6F1A" w:rsidRDefault="00C33EB8" w:rsidP="00C33EB8">
            <w:pPr>
              <w:pStyle w:val="Tabelid"/>
              <w:jc w:val="right"/>
              <w:cnfStyle w:val="000000100000" w:firstRow="0" w:lastRow="0" w:firstColumn="0" w:lastColumn="0" w:oddVBand="0" w:evenVBand="0" w:oddHBand="1" w:evenHBand="0" w:firstRowFirstColumn="0" w:firstRowLastColumn="0" w:lastRowFirstColumn="0" w:lastRowLastColumn="0"/>
            </w:pPr>
            <w:r w:rsidRPr="00646952">
              <w:rPr>
                <w:rFonts w:cs="Calibri"/>
                <w:color w:val="000000"/>
                <w:lang w:eastAsia="en-US"/>
              </w:rPr>
              <w:t>0,2</w:t>
            </w:r>
          </w:p>
        </w:tc>
      </w:tr>
    </w:tbl>
    <w:p w14:paraId="3BAC5BC2" w14:textId="77777777" w:rsidR="00D86B19" w:rsidRPr="005822EA" w:rsidRDefault="00D86B19" w:rsidP="00C33EB8">
      <w:pPr>
        <w:pStyle w:val="Phitekst"/>
        <w:sectPr w:rsidR="00D86B19" w:rsidRPr="005822EA" w:rsidSect="0093189D">
          <w:endnotePr>
            <w:numFmt w:val="decimal"/>
          </w:endnotePr>
          <w:type w:val="continuous"/>
          <w:pgSz w:w="11906" w:h="16838"/>
          <w:pgMar w:top="964" w:right="964" w:bottom="964" w:left="964" w:header="709" w:footer="709" w:gutter="0"/>
          <w:cols w:space="708"/>
          <w:docGrid w:linePitch="360"/>
        </w:sectPr>
      </w:pPr>
    </w:p>
    <w:p w14:paraId="08990DD6" w14:textId="04CDE895" w:rsidR="00F37D12" w:rsidRPr="007A2CD1" w:rsidRDefault="004D0E9B" w:rsidP="00C33EB8">
      <w:pPr>
        <w:pStyle w:val="Phitekst"/>
      </w:pPr>
      <w:r>
        <w:t xml:space="preserve"> </w:t>
      </w:r>
    </w:p>
    <w:p w14:paraId="7749CA2B" w14:textId="77777777" w:rsidR="00037170" w:rsidRPr="007A2CD1" w:rsidRDefault="00037170" w:rsidP="006A5CB8">
      <w:pPr>
        <w:pStyle w:val="Phitekst"/>
        <w:sectPr w:rsidR="00037170" w:rsidRPr="007A2CD1" w:rsidSect="0093189D">
          <w:endnotePr>
            <w:numFmt w:val="decimal"/>
          </w:endnotePr>
          <w:type w:val="continuous"/>
          <w:pgSz w:w="11906" w:h="16838"/>
          <w:pgMar w:top="964" w:right="964" w:bottom="964" w:left="964" w:header="709" w:footer="709" w:gutter="0"/>
          <w:cols w:space="708"/>
          <w:docGrid w:linePitch="360"/>
        </w:sectPr>
      </w:pPr>
    </w:p>
    <w:p w14:paraId="7594B533" w14:textId="32940DDA" w:rsidR="000D1B7D" w:rsidRPr="007A2CD1" w:rsidRDefault="000D1B7D" w:rsidP="00A17254">
      <w:pPr>
        <w:pStyle w:val="Numbritapealkiri"/>
        <w:keepNext w:val="0"/>
        <w:keepLines w:val="0"/>
        <w:spacing w:before="0"/>
        <w:jc w:val="both"/>
      </w:pPr>
      <w:bookmarkStart w:id="140" w:name="_Toc62631862"/>
      <w:bookmarkStart w:id="141" w:name="_Toc64504584"/>
      <w:bookmarkStart w:id="142" w:name="_Ref511398980"/>
      <w:bookmarkStart w:id="143" w:name="_Ref505756332"/>
      <w:bookmarkStart w:id="144" w:name="_Ref505756181"/>
      <w:bookmarkStart w:id="145" w:name="_Toc100230265"/>
      <w:r w:rsidRPr="007A2CD1">
        <w:lastRenderedPageBreak/>
        <w:t xml:space="preserve">Lisa </w:t>
      </w:r>
      <w:r w:rsidR="009B4B96" w:rsidRPr="007A2CD1">
        <w:rPr>
          <w:noProof/>
        </w:rPr>
        <w:fldChar w:fldCharType="begin"/>
      </w:r>
      <w:r w:rsidR="009B4B96" w:rsidRPr="007A2CD1">
        <w:rPr>
          <w:noProof/>
        </w:rPr>
        <w:instrText xml:space="preserve"> SEQ Lisa \* ARABIC </w:instrText>
      </w:r>
      <w:r w:rsidR="009B4B96" w:rsidRPr="007A2CD1">
        <w:rPr>
          <w:noProof/>
        </w:rPr>
        <w:fldChar w:fldCharType="separate"/>
      </w:r>
      <w:r w:rsidR="0010545C">
        <w:rPr>
          <w:noProof/>
        </w:rPr>
        <w:t>1</w:t>
      </w:r>
      <w:r w:rsidR="009B4B96" w:rsidRPr="007A2CD1">
        <w:rPr>
          <w:noProof/>
        </w:rPr>
        <w:fldChar w:fldCharType="end"/>
      </w:r>
      <w:r w:rsidRPr="007A2CD1">
        <w:t xml:space="preserve">. </w:t>
      </w:r>
      <w:r w:rsidR="005E056C">
        <w:t>Kõrgete e</w:t>
      </w:r>
      <w:r w:rsidR="00CC5315">
        <w:t>nergiahindade mõju majandusele</w:t>
      </w:r>
      <w:bookmarkEnd w:id="140"/>
      <w:bookmarkEnd w:id="141"/>
      <w:bookmarkEnd w:id="145"/>
    </w:p>
    <w:p w14:paraId="72BFD4D5" w14:textId="77777777" w:rsidR="00BB669E" w:rsidRPr="007A2CD1" w:rsidRDefault="00BB669E" w:rsidP="00A17254">
      <w:pPr>
        <w:pStyle w:val="Phitekst"/>
        <w:sectPr w:rsidR="00BB669E" w:rsidRPr="007A2CD1" w:rsidSect="0093189D">
          <w:endnotePr>
            <w:numFmt w:val="decimal"/>
          </w:endnotePr>
          <w:pgSz w:w="11906" w:h="16838"/>
          <w:pgMar w:top="964" w:right="964" w:bottom="964" w:left="964" w:header="709" w:footer="709" w:gutter="0"/>
          <w:cols w:space="708"/>
          <w:docGrid w:linePitch="360"/>
        </w:sectPr>
      </w:pPr>
    </w:p>
    <w:p w14:paraId="15BF5CBD" w14:textId="3EA9F8CA" w:rsidR="00D540F8" w:rsidRPr="00C16840" w:rsidRDefault="00D540F8" w:rsidP="00C16840">
      <w:pPr>
        <w:pStyle w:val="Phitekst"/>
        <w:rPr>
          <w:bCs/>
        </w:rPr>
      </w:pPr>
      <w:r w:rsidRPr="00C16840">
        <w:rPr>
          <w:bCs/>
        </w:rPr>
        <w:t xml:space="preserve">Energiahindade šokk tabas Euroopat mullu sügisel ning käesoleva aasta 24. veebruaril alanud sündmused on põhjustanud suuri kõikumisi tooraineturgudel ning halvendanud olukorda veelgi. Energiahindade väga kiire tõus on põhjustanud aastakümnete kiireima tarbijahindade tõusu nii meil kui </w:t>
      </w:r>
      <w:r w:rsidR="00021311">
        <w:rPr>
          <w:bCs/>
        </w:rPr>
        <w:t xml:space="preserve">ka </w:t>
      </w:r>
      <w:r w:rsidRPr="00C16840">
        <w:rPr>
          <w:bCs/>
        </w:rPr>
        <w:t>Euroopas laiemalt. Elektri börsihind oli talvekuudel (dets’21</w:t>
      </w:r>
      <w:r w:rsidR="00863E47" w:rsidRPr="0049714C">
        <w:t>–</w:t>
      </w:r>
      <w:r w:rsidRPr="00C16840">
        <w:rPr>
          <w:bCs/>
        </w:rPr>
        <w:t>veebr’22) pea 3 korda ja gaasi hind Euroopa gaasiturul (TTF) 5,5 korda kõrgem kui aasta tagasi samal perioodil.</w:t>
      </w:r>
    </w:p>
    <w:p w14:paraId="69557F2C" w14:textId="58CEBE84" w:rsidR="00D540F8" w:rsidRPr="00C16840" w:rsidRDefault="00D540F8" w:rsidP="00C16840">
      <w:pPr>
        <w:pStyle w:val="Phitekst"/>
        <w:rPr>
          <w:bCs/>
        </w:rPr>
      </w:pPr>
      <w:r w:rsidRPr="00C16840">
        <w:rPr>
          <w:bCs/>
        </w:rPr>
        <w:t xml:space="preserve">Energiahindade tõus majapidamistel ulatus vaadeldava 3 kuu jooksul keskmiselt 45%ni, mis on EL27 üks kiiremaid. Seda nii elektri kui </w:t>
      </w:r>
      <w:r w:rsidR="00021311">
        <w:rPr>
          <w:bCs/>
        </w:rPr>
        <w:t xml:space="preserve">ka </w:t>
      </w:r>
      <w:r w:rsidRPr="00C16840">
        <w:rPr>
          <w:bCs/>
        </w:rPr>
        <w:t>gaasi hinnatõusu osas. Võrdluseks jääb EL27 keskmine hinnatõus 27% juurde. Kõrgete energiahindade leevendamiseks on paljud Euroopa riigid rakendanud erinevaid ajutisi meetmeid (sh KM, võrgutasu langetus, hinnalae kehtestamine ning hinnatõusu osaline hüvitamine). Eesti puhul on aasta alguses toimunud energia hinnatõusu pidurdumine seletatav elektrile, gaasile ja kaugküttele kehtestatud hinnalaega. Veebruari seisuga ulatus valitsuse kehtestatud leevendusmeetmete mõju THI</w:t>
      </w:r>
      <w:r w:rsidR="00021311">
        <w:rPr>
          <w:bCs/>
        </w:rPr>
        <w:t>-</w:t>
      </w:r>
      <w:proofErr w:type="spellStart"/>
      <w:r w:rsidRPr="00C16840">
        <w:rPr>
          <w:bCs/>
        </w:rPr>
        <w:t>le</w:t>
      </w:r>
      <w:proofErr w:type="spellEnd"/>
      <w:r w:rsidRPr="00C16840">
        <w:rPr>
          <w:bCs/>
        </w:rPr>
        <w:t xml:space="preserve"> ca -1,2%ni.</w:t>
      </w:r>
    </w:p>
    <w:p w14:paraId="0FFCA3E3" w14:textId="48B6FA0E" w:rsidR="00D540F8" w:rsidRPr="00C16840" w:rsidRDefault="00D540F8" w:rsidP="00C16840">
      <w:pPr>
        <w:pStyle w:val="Phitekst"/>
        <w:rPr>
          <w:bCs/>
        </w:rPr>
      </w:pPr>
      <w:r w:rsidRPr="00C16840">
        <w:rPr>
          <w:bCs/>
        </w:rPr>
        <w:t xml:space="preserve">Lisaks tuleb arvestada, et Eestis moodustavad majapidamiste poolt energiale tehtavad kulutused tarbimiskorvis tunduvalt suurema osa EL27 keskmisega võrreldes (16% vs 11%). Seetõttu mõjutab energiahindade šokk tarbijaid Eestis suuremal määral. </w:t>
      </w:r>
      <w:r w:rsidR="00021311">
        <w:rPr>
          <w:bCs/>
        </w:rPr>
        <w:t>Perioodi d</w:t>
      </w:r>
      <w:r w:rsidRPr="00C16840">
        <w:rPr>
          <w:bCs/>
        </w:rPr>
        <w:t>ets’21</w:t>
      </w:r>
      <w:r w:rsidR="00863E47">
        <w:rPr>
          <w:bCs/>
        </w:rPr>
        <w:t xml:space="preserve"> </w:t>
      </w:r>
      <w:r w:rsidR="00863E47" w:rsidRPr="0049714C">
        <w:t>–</w:t>
      </w:r>
      <w:r w:rsidR="00863E47">
        <w:t xml:space="preserve"> </w:t>
      </w:r>
      <w:r w:rsidRPr="00C16840">
        <w:rPr>
          <w:bCs/>
        </w:rPr>
        <w:t>veebr’22 jooksul ulatus energiahindade panus THI-</w:t>
      </w:r>
      <w:proofErr w:type="spellStart"/>
      <w:r w:rsidRPr="00C16840">
        <w:rPr>
          <w:bCs/>
        </w:rPr>
        <w:t>le</w:t>
      </w:r>
      <w:proofErr w:type="spellEnd"/>
      <w:r w:rsidRPr="00C16840">
        <w:rPr>
          <w:bCs/>
        </w:rPr>
        <w:t xml:space="preserve"> koguni 6,2%ni, ehk moodustab pea poole tarbijahindade 11,8%st tõusust.</w:t>
      </w:r>
    </w:p>
    <w:p w14:paraId="6A27FA54" w14:textId="348696D7" w:rsidR="00D540F8" w:rsidRPr="00C16840" w:rsidRDefault="00D540F8" w:rsidP="00C16840">
      <w:pPr>
        <w:pStyle w:val="Phitekst"/>
        <w:rPr>
          <w:bCs/>
        </w:rPr>
      </w:pPr>
      <w:r w:rsidRPr="00C16840">
        <w:rPr>
          <w:rStyle w:val="Tugev"/>
        </w:rPr>
        <w:t>Kõrgete energiahindade puhul tuleb arvestada ka kaudse mõjuga</w:t>
      </w:r>
      <w:r w:rsidRPr="00C16840">
        <w:rPr>
          <w:bCs/>
        </w:rPr>
        <w:t>, kuna elekter, mootorikütus ja teised energiatooted on oluliseks sisendiks mitmetel tegevusaladel, suurendades ettevõtete kulusid nii tööstuses kui</w:t>
      </w:r>
      <w:r w:rsidR="00021311">
        <w:rPr>
          <w:bCs/>
        </w:rPr>
        <w:t xml:space="preserve"> ka</w:t>
      </w:r>
      <w:r w:rsidRPr="00C16840">
        <w:rPr>
          <w:bCs/>
        </w:rPr>
        <w:t xml:space="preserve"> teenindussektoris. Turukonjunktuuri võimaldades tuleb ettevõtetel elujõulisuse säilitamiseks ja kahjumliku äritegevuse vältimiseks sisendite kallinemine toodete lõpphindadesse </w:t>
      </w:r>
      <w:r w:rsidR="00021311">
        <w:rPr>
          <w:bCs/>
        </w:rPr>
        <w:t xml:space="preserve">üle </w:t>
      </w:r>
      <w:r w:rsidRPr="00C16840">
        <w:rPr>
          <w:bCs/>
        </w:rPr>
        <w:t xml:space="preserve">kanda. Kütusele ja energiale </w:t>
      </w:r>
      <w:r w:rsidRPr="00C16840">
        <w:rPr>
          <w:bCs/>
        </w:rPr>
        <w:t>tehtava</w:t>
      </w:r>
      <w:r w:rsidR="00021311">
        <w:rPr>
          <w:bCs/>
        </w:rPr>
        <w:t xml:space="preserve">te </w:t>
      </w:r>
      <w:r w:rsidRPr="00C16840">
        <w:rPr>
          <w:bCs/>
        </w:rPr>
        <w:t>kulutus</w:t>
      </w:r>
      <w:r w:rsidR="00021311">
        <w:rPr>
          <w:bCs/>
        </w:rPr>
        <w:t>t</w:t>
      </w:r>
      <w:r w:rsidRPr="00C16840">
        <w:rPr>
          <w:bCs/>
        </w:rPr>
        <w:t>e</w:t>
      </w:r>
      <w:r w:rsidR="00021311">
        <w:rPr>
          <w:bCs/>
        </w:rPr>
        <w:t xml:space="preserve"> osakaal kogukuludes</w:t>
      </w:r>
      <w:r w:rsidRPr="00C16840">
        <w:rPr>
          <w:bCs/>
        </w:rPr>
        <w:t xml:space="preserve"> on varasematel aastatel püsinud 3% juures, samas 2020. kui pandeemiaperiood langetas selle osakaalu 2,6%ni. Sealjuures ulatusid kulutused elektrile 0,8%ni ja mootorikütusele ligikaudu 1%ni</w:t>
      </w:r>
      <w:r w:rsidR="00021311">
        <w:rPr>
          <w:bCs/>
        </w:rPr>
        <w:t xml:space="preserve"> kogukuludest</w:t>
      </w:r>
      <w:r w:rsidRPr="00C16840">
        <w:rPr>
          <w:bCs/>
        </w:rPr>
        <w:t>.</w:t>
      </w:r>
    </w:p>
    <w:p w14:paraId="1ABB5191" w14:textId="6B112AEF" w:rsidR="00D540F8" w:rsidRPr="00C16840" w:rsidRDefault="00D540F8" w:rsidP="00C16840">
      <w:pPr>
        <w:pStyle w:val="Phitekst"/>
        <w:rPr>
          <w:bCs/>
        </w:rPr>
      </w:pPr>
      <w:r w:rsidRPr="00C16840">
        <w:rPr>
          <w:bCs/>
        </w:rPr>
        <w:t xml:space="preserve">Eeldades, et dets’21 </w:t>
      </w:r>
      <w:r w:rsidR="00863E47" w:rsidRPr="0049714C">
        <w:t>–</w:t>
      </w:r>
      <w:r w:rsidRPr="00C16840">
        <w:rPr>
          <w:bCs/>
        </w:rPr>
        <w:t xml:space="preserve"> veebr’22 elektri börsihind jääb tänavu uueks normaaltasemeks, tuleb ettevõtlussektoril arvestada ca 150%se elektrihinna (koos võrgutasude ja aktsiisiga) tõusuga 2020. aasta lõpuga võrreldes. Gaasi hind kujunes ettevõtetel sel talvel laias laastus 4 korda kõrgemaks kui aasta tagasi. Mootorikütuste osas on arvestatud keskeltläbi 30%se kallinemisega. Kui ettevõtted lisaksid eelmainitud sisendite kallinemise kogu ulatuses lõpphinda, tähendaks see 2%st</w:t>
      </w:r>
      <w:r w:rsidR="00C07299">
        <w:rPr>
          <w:rStyle w:val="Lpumrkuseviide"/>
          <w:bCs/>
        </w:rPr>
        <w:endnoteReference w:id="8"/>
      </w:r>
      <w:r w:rsidRPr="00C16840">
        <w:rPr>
          <w:bCs/>
        </w:rPr>
        <w:t xml:space="preserve"> kaupade ja teenuste kallinemist. Toiduainete ja joogitootmises kui majapidamisi rohkem mõjutavas sektoris tooks see kaasa 3,3%se hinnatõusu. Suurim mõju on põlevkivi kaevandamises ja paberitööstuses. Teenuste</w:t>
      </w:r>
      <w:r w:rsidR="00052F1D" w:rsidRPr="00C16840">
        <w:rPr>
          <w:bCs/>
        </w:rPr>
        <w:t xml:space="preserve"> </w:t>
      </w:r>
      <w:r w:rsidRPr="00C16840">
        <w:rPr>
          <w:bCs/>
        </w:rPr>
        <w:t>sektorist mõjutaks see suuremal määral veevarustust ja -töötlust (+12,8%), kinnisvaraalast tegevust (+9,2%), maismaaveondust (+5,7%) ja majutust ja toitlustust (+4,1%). Seevastu ehitussektorile ja info-sidele tähendaks see tagasihoidlikku hinnatõusu (ca +1%).</w:t>
      </w:r>
    </w:p>
    <w:p w14:paraId="00423E64" w14:textId="77777777" w:rsidR="00F418A6" w:rsidRPr="00C16840" w:rsidRDefault="00D540F8" w:rsidP="00C16840">
      <w:pPr>
        <w:pStyle w:val="Phitekst"/>
        <w:rPr>
          <w:bCs/>
        </w:rPr>
        <w:sectPr w:rsidR="00F418A6" w:rsidRPr="00C16840" w:rsidSect="00F418A6">
          <w:endnotePr>
            <w:numFmt w:val="decimal"/>
          </w:endnotePr>
          <w:type w:val="continuous"/>
          <w:pgSz w:w="11906" w:h="16838"/>
          <w:pgMar w:top="964" w:right="964" w:bottom="964" w:left="964" w:header="709" w:footer="709" w:gutter="0"/>
          <w:cols w:num="2" w:space="708"/>
          <w:docGrid w:linePitch="360"/>
        </w:sectPr>
      </w:pPr>
      <w:r w:rsidRPr="00C16840">
        <w:rPr>
          <w:rStyle w:val="Tugev"/>
        </w:rPr>
        <w:t>Sõjategevus Ukrainas ja sellele järgnenud pingete süvenemine Lääne ja Venemaa vahel ning sanktsioonide kehtestamine on aga põhjustanud täiendava šoki maailmamajandusele</w:t>
      </w:r>
      <w:r w:rsidRPr="00C16840">
        <w:rPr>
          <w:bCs/>
        </w:rPr>
        <w:t>. Siinkohal tuleb silmas pidada, et Euroopa Liidul on suur sõltuvus imporditavatest energiaallikatest ning idanaaber on peamine naftasaaduste, maagaasi ja kivisöe tarnija. Mitmete energiatoodete ja toorainete hinnad on maailmaturul uutes kõrgustes ning selle mõju hakkab tarbijahindadesse kanduma märtsis-aprillis. Lisaks on energiatoodete futuurid jõuliselt kerkinud, mille kohaselt võib energia hinnalangust oodata alles 2023. aasta kevadel. See tähendab ühtlasi, et inflatsiooni aeglustumine on sõjategevuse tulemusena edasi lükkunud.</w:t>
      </w:r>
    </w:p>
    <w:p w14:paraId="1F34F47B" w14:textId="4C309EA0" w:rsidR="00D540F8" w:rsidRDefault="00D540F8" w:rsidP="00D540F8">
      <w:pPr>
        <w:jc w:val="both"/>
      </w:pPr>
    </w:p>
    <w:p w14:paraId="135F755A" w14:textId="77777777" w:rsidR="00D540F8" w:rsidRDefault="00D540F8" w:rsidP="00D540F8">
      <w:pPr>
        <w:jc w:val="both"/>
        <w:sectPr w:rsidR="00D540F8" w:rsidSect="00BB669E">
          <w:endnotePr>
            <w:numFmt w:val="decimal"/>
          </w:endnotePr>
          <w:type w:val="continuous"/>
          <w:pgSz w:w="11906" w:h="16838"/>
          <w:pgMar w:top="964" w:right="964" w:bottom="964" w:left="964" w:header="709" w:footer="709" w:gutter="0"/>
          <w:cols w:space="708"/>
          <w:docGrid w:linePitch="360"/>
        </w:sectPr>
      </w:pPr>
    </w:p>
    <w:p w14:paraId="2B96600D" w14:textId="6699F634" w:rsidR="00DA01FE" w:rsidRPr="007A2CD1" w:rsidRDefault="00DA01FE" w:rsidP="00DA01FE">
      <w:pPr>
        <w:pStyle w:val="Numbritapealkiri"/>
        <w:jc w:val="both"/>
      </w:pPr>
      <w:bookmarkStart w:id="146" w:name="_Toc62631863"/>
      <w:bookmarkStart w:id="147" w:name="_Toc64504585"/>
      <w:bookmarkStart w:id="148" w:name="_Toc100230266"/>
      <w:r w:rsidRPr="005A7C71">
        <w:lastRenderedPageBreak/>
        <w:t xml:space="preserve">Lisa </w:t>
      </w:r>
      <w:r w:rsidRPr="005A7C71">
        <w:rPr>
          <w:noProof/>
        </w:rPr>
        <w:fldChar w:fldCharType="begin"/>
      </w:r>
      <w:r w:rsidRPr="005A7C71">
        <w:rPr>
          <w:noProof/>
        </w:rPr>
        <w:instrText xml:space="preserve"> SEQ Lisa \* ARABIC </w:instrText>
      </w:r>
      <w:r w:rsidRPr="005A7C71">
        <w:rPr>
          <w:noProof/>
        </w:rPr>
        <w:fldChar w:fldCharType="separate"/>
      </w:r>
      <w:r w:rsidR="0010545C" w:rsidRPr="005A7C71">
        <w:rPr>
          <w:noProof/>
        </w:rPr>
        <w:t>2</w:t>
      </w:r>
      <w:r w:rsidRPr="005A7C71">
        <w:rPr>
          <w:noProof/>
        </w:rPr>
        <w:fldChar w:fldCharType="end"/>
      </w:r>
      <w:r w:rsidRPr="005A7C71">
        <w:t xml:space="preserve">. </w:t>
      </w:r>
      <w:r w:rsidR="00052845" w:rsidRPr="005A7C71">
        <w:t>Vene</w:t>
      </w:r>
      <w:r w:rsidR="007929AE" w:rsidRPr="005A7C71">
        <w:t>maa</w:t>
      </w:r>
      <w:r w:rsidR="00052845" w:rsidRPr="005A7C71">
        <w:t xml:space="preserve">-Ukraina sõja </w:t>
      </w:r>
      <w:r w:rsidR="00CC5315" w:rsidRPr="005A7C71">
        <w:t>mõju majandusele</w:t>
      </w:r>
      <w:bookmarkEnd w:id="146"/>
      <w:bookmarkEnd w:id="147"/>
      <w:bookmarkEnd w:id="148"/>
    </w:p>
    <w:p w14:paraId="42EF8DC4" w14:textId="77777777" w:rsidR="00DA01FE" w:rsidRPr="007A2CD1" w:rsidRDefault="00DA01FE" w:rsidP="00DA01FE">
      <w:pPr>
        <w:spacing w:after="0" w:line="240" w:lineRule="auto"/>
        <w:jc w:val="both"/>
        <w:sectPr w:rsidR="00DA01FE" w:rsidRPr="007A2CD1" w:rsidSect="00D540F8">
          <w:endnotePr>
            <w:numFmt w:val="decimal"/>
          </w:endnotePr>
          <w:pgSz w:w="11906" w:h="16838"/>
          <w:pgMar w:top="964" w:right="964" w:bottom="964" w:left="964" w:header="709" w:footer="709" w:gutter="0"/>
          <w:cols w:space="708"/>
          <w:docGrid w:linePitch="360"/>
        </w:sectPr>
      </w:pPr>
    </w:p>
    <w:p w14:paraId="79E2EDB3" w14:textId="3378CF3A" w:rsidR="00991D61" w:rsidRPr="00991D61" w:rsidRDefault="00991D61" w:rsidP="008B4CBE">
      <w:pPr>
        <w:pStyle w:val="Phitekst"/>
        <w:spacing w:line="22" w:lineRule="atLeast"/>
        <w:rPr>
          <w:rStyle w:val="Tugev"/>
        </w:rPr>
      </w:pPr>
      <w:r w:rsidRPr="00991D61">
        <w:rPr>
          <w:rStyle w:val="Tugev"/>
        </w:rPr>
        <w:t xml:space="preserve">Esialgse hinnangu kohaselt võib </w:t>
      </w:r>
      <w:r w:rsidR="00C07299">
        <w:rPr>
          <w:rStyle w:val="Tugev"/>
        </w:rPr>
        <w:t xml:space="preserve">Venemaa sõjalise agressiooni tõttu kehtestatud </w:t>
      </w:r>
      <w:r w:rsidRPr="00991D61">
        <w:rPr>
          <w:rStyle w:val="Tugev"/>
        </w:rPr>
        <w:t xml:space="preserve">sanktsioonide, väliskaubanduse peatumise, toormete kallinemise ning kindlustunde alanemise </w:t>
      </w:r>
      <w:r w:rsidR="00C07299">
        <w:rPr>
          <w:rStyle w:val="Tugev"/>
        </w:rPr>
        <w:t>kaudu</w:t>
      </w:r>
      <w:r w:rsidRPr="00991D61">
        <w:rPr>
          <w:rStyle w:val="Tugev"/>
        </w:rPr>
        <w:t xml:space="preserve"> Eesti majanduskasv käesoleval aastal aeglustuda kuni 4 protsendipunkti võrra</w:t>
      </w:r>
      <w:r w:rsidR="00000A8A" w:rsidRPr="00000A8A">
        <w:rPr>
          <w:rStyle w:val="Tugev"/>
        </w:rPr>
        <w:t xml:space="preserve"> </w:t>
      </w:r>
      <w:r w:rsidR="00000A8A">
        <w:rPr>
          <w:rStyle w:val="Tugev"/>
        </w:rPr>
        <w:t xml:space="preserve">ning </w:t>
      </w:r>
      <w:r w:rsidR="00000A8A" w:rsidRPr="00991D61">
        <w:rPr>
          <w:rStyle w:val="Tugev"/>
        </w:rPr>
        <w:t>hinnatõus ulatub 12,7%ni peamiselt energia ja toidu kallinemise ning tarneraskuste tõttu</w:t>
      </w:r>
      <w:r w:rsidRPr="00991D61">
        <w:rPr>
          <w:rStyle w:val="Tugev"/>
        </w:rPr>
        <w:t>. Vähenenud nõudlus ning tootmisseisaku</w:t>
      </w:r>
      <w:r w:rsidR="00E4488D">
        <w:rPr>
          <w:rStyle w:val="Tugev"/>
        </w:rPr>
        <w:t>d</w:t>
      </w:r>
      <w:r w:rsidRPr="00991D61">
        <w:rPr>
          <w:rStyle w:val="Tugev"/>
        </w:rPr>
        <w:t xml:space="preserve"> </w:t>
      </w:r>
      <w:r w:rsidR="00E4488D">
        <w:rPr>
          <w:rStyle w:val="Tugev"/>
        </w:rPr>
        <w:t xml:space="preserve">ohustavad </w:t>
      </w:r>
      <w:r w:rsidRPr="00991D61">
        <w:rPr>
          <w:rStyle w:val="Tugev"/>
        </w:rPr>
        <w:t>10 kuni 20 tuha</w:t>
      </w:r>
      <w:r w:rsidR="00000A8A">
        <w:rPr>
          <w:rStyle w:val="Tugev"/>
        </w:rPr>
        <w:t>nde</w:t>
      </w:r>
      <w:r w:rsidRPr="00991D61">
        <w:rPr>
          <w:rStyle w:val="Tugev"/>
        </w:rPr>
        <w:t xml:space="preserve">t töökohta. Seega võib </w:t>
      </w:r>
      <w:r w:rsidR="00000A8A">
        <w:rPr>
          <w:rStyle w:val="Tugev"/>
        </w:rPr>
        <w:t>sõja</w:t>
      </w:r>
      <w:r w:rsidR="008B4CBE">
        <w:rPr>
          <w:rStyle w:val="Tugev"/>
        </w:rPr>
        <w:t xml:space="preserve"> </w:t>
      </w:r>
      <w:r w:rsidR="00000A8A">
        <w:rPr>
          <w:rStyle w:val="Tugev"/>
        </w:rPr>
        <w:t xml:space="preserve">mõju tõttu </w:t>
      </w:r>
      <w:r w:rsidRPr="00991D61">
        <w:rPr>
          <w:rStyle w:val="Tugev"/>
        </w:rPr>
        <w:t>tööpuudus kasvada sel ja järgmisel aastal kuni 3 protsendipunkti</w:t>
      </w:r>
      <w:r w:rsidR="00000A8A">
        <w:rPr>
          <w:rStyle w:val="Tugev"/>
        </w:rPr>
        <w:t>, millele</w:t>
      </w:r>
      <w:r w:rsidRPr="00991D61">
        <w:rPr>
          <w:rStyle w:val="Tugev"/>
        </w:rPr>
        <w:t xml:space="preserve"> </w:t>
      </w:r>
      <w:r w:rsidR="00000A8A">
        <w:rPr>
          <w:rStyle w:val="Tugev"/>
        </w:rPr>
        <w:t>Eestisse saabunud p</w:t>
      </w:r>
      <w:r w:rsidRPr="00991D61">
        <w:rPr>
          <w:rStyle w:val="Tugev"/>
        </w:rPr>
        <w:t xml:space="preserve">õgenikud lisavad </w:t>
      </w:r>
      <w:r w:rsidR="00000A8A">
        <w:rPr>
          <w:rStyle w:val="Tugev"/>
        </w:rPr>
        <w:t xml:space="preserve">käesoleval aastal </w:t>
      </w:r>
      <w:r w:rsidRPr="00991D61">
        <w:rPr>
          <w:rStyle w:val="Tugev"/>
        </w:rPr>
        <w:t>veel täiendavalt 1 protsendi</w:t>
      </w:r>
      <w:r w:rsidR="00000A8A">
        <w:rPr>
          <w:rStyle w:val="Tugev"/>
        </w:rPr>
        <w:softHyphen/>
      </w:r>
      <w:r w:rsidRPr="00991D61">
        <w:rPr>
          <w:rStyle w:val="Tugev"/>
        </w:rPr>
        <w:t>punkti. Ka riigisektoris tuleb hangete ja majanduskulude planeerimisel arvestada raha reaalse väärtuse kahanemisega.</w:t>
      </w:r>
    </w:p>
    <w:p w14:paraId="03CAC2B9" w14:textId="0C1A38A0" w:rsidR="00991D61" w:rsidRPr="00C16840" w:rsidRDefault="00000A8A" w:rsidP="00C16840">
      <w:pPr>
        <w:pStyle w:val="Phitekst"/>
        <w:rPr>
          <w:bCs/>
        </w:rPr>
      </w:pPr>
      <w:r w:rsidRPr="00C16840">
        <w:rPr>
          <w:bCs/>
        </w:rPr>
        <w:t>Sõja</w:t>
      </w:r>
      <w:r w:rsidR="008B4CBE" w:rsidRPr="00C16840">
        <w:rPr>
          <w:bCs/>
        </w:rPr>
        <w:t xml:space="preserve"> </w:t>
      </w:r>
      <w:r w:rsidRPr="00C16840">
        <w:rPr>
          <w:bCs/>
        </w:rPr>
        <w:t>mõju jõua</w:t>
      </w:r>
      <w:r w:rsidR="008B4CBE" w:rsidRPr="00C16840">
        <w:rPr>
          <w:bCs/>
        </w:rPr>
        <w:t>b</w:t>
      </w:r>
      <w:r w:rsidRPr="00C16840">
        <w:rPr>
          <w:bCs/>
        </w:rPr>
        <w:t xml:space="preserve"> meieni </w:t>
      </w:r>
      <w:r w:rsidR="009945AF" w:rsidRPr="00C16840">
        <w:rPr>
          <w:bCs/>
        </w:rPr>
        <w:t xml:space="preserve">mitmel </w:t>
      </w:r>
      <w:r w:rsidRPr="00C16840">
        <w:rPr>
          <w:bCs/>
        </w:rPr>
        <w:t>moel</w:t>
      </w:r>
      <w:r w:rsidR="00991D61" w:rsidRPr="00C16840">
        <w:rPr>
          <w:bCs/>
        </w:rPr>
        <w:t>, mida on käsitletud all.</w:t>
      </w:r>
    </w:p>
    <w:p w14:paraId="149CEE7A" w14:textId="1DC98558" w:rsidR="00991D61" w:rsidRPr="00C16840" w:rsidRDefault="00991D61" w:rsidP="00C16840">
      <w:pPr>
        <w:pStyle w:val="Phitekst"/>
        <w:rPr>
          <w:bCs/>
        </w:rPr>
      </w:pPr>
      <w:r w:rsidRPr="00C16840">
        <w:rPr>
          <w:rStyle w:val="Tugev"/>
        </w:rPr>
        <w:t>Ekspordi katkemine ja sanktsioonid.</w:t>
      </w:r>
      <w:r w:rsidRPr="00C16840">
        <w:rPr>
          <w:bCs/>
        </w:rPr>
        <w:t xml:space="preserve"> </w:t>
      </w:r>
      <w:r w:rsidR="00606129" w:rsidRPr="00C16840">
        <w:rPr>
          <w:bCs/>
        </w:rPr>
        <w:t>Hetkeseisuga võib eeldada</w:t>
      </w:r>
      <w:r w:rsidRPr="00C16840">
        <w:rPr>
          <w:bCs/>
        </w:rPr>
        <w:t>, et eksport katkeb täielikult ja katkestus kestab pikaajaliselt. Venemaa, Valgevene ja Ukraina turu ära langemine arenenud tööstus</w:t>
      </w:r>
      <w:r w:rsidR="00606129" w:rsidRPr="00C16840">
        <w:rPr>
          <w:bCs/>
        </w:rPr>
        <w:softHyphen/>
      </w:r>
      <w:r w:rsidRPr="00C16840">
        <w:rPr>
          <w:bCs/>
        </w:rPr>
        <w:t xml:space="preserve">riikide jaoks vähendab Eesti majanduse mahtu </w:t>
      </w:r>
      <w:r w:rsidR="00882AEB" w:rsidRPr="00C16840">
        <w:rPr>
          <w:bCs/>
        </w:rPr>
        <w:t xml:space="preserve">OECD </w:t>
      </w:r>
      <w:proofErr w:type="spellStart"/>
      <w:r w:rsidR="00882AEB" w:rsidRPr="00C16840">
        <w:rPr>
          <w:bCs/>
        </w:rPr>
        <w:t>TiVA</w:t>
      </w:r>
      <w:proofErr w:type="spellEnd"/>
      <w:r w:rsidR="00882AEB" w:rsidRPr="00C16840">
        <w:rPr>
          <w:bCs/>
        </w:rPr>
        <w:t xml:space="preserve"> </w:t>
      </w:r>
      <w:r w:rsidR="00606129" w:rsidRPr="00C16840">
        <w:rPr>
          <w:bCs/>
        </w:rPr>
        <w:t>andmestikku</w:t>
      </w:r>
      <w:r w:rsidR="00882AEB" w:rsidRPr="00C16840">
        <w:rPr>
          <w:bCs/>
        </w:rPr>
        <w:t xml:space="preserve"> järgi </w:t>
      </w:r>
      <w:r w:rsidR="00606129" w:rsidRPr="00C16840">
        <w:rPr>
          <w:bCs/>
        </w:rPr>
        <w:t xml:space="preserve">hinnates </w:t>
      </w:r>
      <w:r w:rsidRPr="00C16840">
        <w:rPr>
          <w:bCs/>
        </w:rPr>
        <w:t>ligikaudu 2%, hõive kahaneb sellega seotult 1,6%. Ekspordi katkemise mõju riigieelarvele on 180 miljonit eurot aastas, sellest 130 miljonit eurot moodus</w:t>
      </w:r>
      <w:r w:rsidR="00606129" w:rsidRPr="00C16840">
        <w:rPr>
          <w:bCs/>
        </w:rPr>
        <w:softHyphen/>
      </w:r>
      <w:r w:rsidRPr="00C16840">
        <w:rPr>
          <w:bCs/>
        </w:rPr>
        <w:t>tab maksutulude langus ning 50 miljonit eurot arvestuslike kulude (eelkõige töötutoetused) kasv.</w:t>
      </w:r>
    </w:p>
    <w:p w14:paraId="025F6AD9" w14:textId="570D308C" w:rsidR="00882AEB" w:rsidRPr="00C16840" w:rsidRDefault="00991D61" w:rsidP="00C16840">
      <w:pPr>
        <w:pStyle w:val="Phitekst"/>
        <w:rPr>
          <w:bCs/>
        </w:rPr>
      </w:pPr>
      <w:r w:rsidRPr="00C16840">
        <w:rPr>
          <w:b/>
        </w:rPr>
        <w:t>Pudelikaelad ja defitsiit importkaupade tarnimisel Eestis.</w:t>
      </w:r>
      <w:r w:rsidR="00543962" w:rsidRPr="00C16840">
        <w:rPr>
          <w:b/>
        </w:rPr>
        <w:t xml:space="preserve"> </w:t>
      </w:r>
      <w:r w:rsidRPr="00C16840">
        <w:rPr>
          <w:bCs/>
        </w:rPr>
        <w:t>Eesti impordist tuleb üle poole väetistest, teatud keemiatoodetest, metalltoodetest ning puidu ja puittoodetest Venemaalt. Maailm tervikuna ja eriti Euroopa sõltub Venemaa päritolu energia</w:t>
      </w:r>
      <w:r w:rsidR="00606129" w:rsidRPr="00C16840">
        <w:rPr>
          <w:bCs/>
        </w:rPr>
        <w:softHyphen/>
      </w:r>
      <w:r w:rsidRPr="00C16840">
        <w:rPr>
          <w:bCs/>
        </w:rPr>
        <w:t>toodetest, sh osad maailma piirkonnad ka Venemaa ja Ukraina teraviljast (sh on Venemaa olnud kordades suurem teravilja eksportija kui Ukraina). Venemaast sõltuvuse vähendamiseks on vaja leida uued impordi partnerriigid, aga uute partnerite leidmine võtab aega, võib olla logistiliselt keerukas, eeldab teistsuguseid tarneahelaid ning kohati teistsugust taristut ning asendustooted on kõrgema hinnaga.</w:t>
      </w:r>
      <w:r w:rsidR="009945AF" w:rsidRPr="00C16840">
        <w:rPr>
          <w:bCs/>
        </w:rPr>
        <w:t xml:space="preserve"> </w:t>
      </w:r>
      <w:r w:rsidR="00882AEB" w:rsidRPr="00C16840">
        <w:rPr>
          <w:bCs/>
        </w:rPr>
        <w:t xml:space="preserve">See on probleem eelkõige </w:t>
      </w:r>
      <w:r w:rsidR="009945AF" w:rsidRPr="00C16840">
        <w:rPr>
          <w:bCs/>
        </w:rPr>
        <w:t>läh</w:t>
      </w:r>
      <w:r w:rsidR="008B4CBE" w:rsidRPr="00C16840">
        <w:rPr>
          <w:bCs/>
        </w:rPr>
        <w:t>i</w:t>
      </w:r>
      <w:r w:rsidR="009945AF" w:rsidRPr="00C16840">
        <w:rPr>
          <w:bCs/>
        </w:rPr>
        <w:t xml:space="preserve">kuudel. Eeldada võib, et aasta-paari jooksul leitakse uued tarnijad ja majandus kohaneb uuel hinnatasemel. </w:t>
      </w:r>
    </w:p>
    <w:p w14:paraId="1E8E8C19" w14:textId="4C56C099" w:rsidR="0082235F" w:rsidRDefault="009420C5" w:rsidP="009420C5">
      <w:pPr>
        <w:pStyle w:val="Pealdis"/>
      </w:pPr>
      <w:bookmarkStart w:id="149" w:name="_Toc100230279"/>
      <w:r>
        <w:t xml:space="preserve">Joonis </w:t>
      </w:r>
      <w:fldSimple w:instr=" SEQ Joonis \* ARABIC ">
        <w:r w:rsidR="000C04EE">
          <w:rPr>
            <w:noProof/>
          </w:rPr>
          <w:t>10</w:t>
        </w:r>
      </w:fldSimple>
      <w:r>
        <w:t>. Sõja mõju majandusele (2015.a püsivhindades, mln EUR)</w:t>
      </w:r>
      <w:bookmarkEnd w:id="149"/>
    </w:p>
    <w:p w14:paraId="4F83375C" w14:textId="631D6CA2" w:rsidR="00991D61" w:rsidRPr="00C16840" w:rsidRDefault="009420C5" w:rsidP="008B4CBE">
      <w:pPr>
        <w:pStyle w:val="Phitekst"/>
        <w:spacing w:line="22" w:lineRule="atLeast"/>
        <w:rPr>
          <w:bCs/>
        </w:rPr>
      </w:pPr>
      <w:r>
        <w:rPr>
          <w:noProof/>
          <w:lang w:eastAsia="et-EE"/>
        </w:rPr>
        <w:drawing>
          <wp:inline distT="0" distB="0" distL="0" distR="0" wp14:anchorId="5E03AE05" wp14:editId="59D41A24">
            <wp:extent cx="2987643" cy="2272419"/>
            <wp:effectExtent l="0" t="0" r="3810" b="0"/>
            <wp:docPr id="20" name="Diagramm 20">
              <a:extLst xmlns:a="http://schemas.openxmlformats.org/drawingml/2006/main">
                <a:ext uri="{FF2B5EF4-FFF2-40B4-BE49-F238E27FC236}">
                  <a16:creationId xmlns:a16="http://schemas.microsoft.com/office/drawing/2014/main" id="{AB9BB517-22EB-422F-A6CB-EDB4732E26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991D61" w:rsidRPr="00C16840">
        <w:rPr>
          <w:b/>
        </w:rPr>
        <w:t>Põgenikud.</w:t>
      </w:r>
      <w:r w:rsidR="00991D61" w:rsidRPr="00C16840">
        <w:rPr>
          <w:bCs/>
        </w:rPr>
        <w:t xml:space="preserve"> Eesti oli märtsi lõpu seisuga vastu võtnud </w:t>
      </w:r>
      <w:r w:rsidR="009945AF" w:rsidRPr="00C16840">
        <w:rPr>
          <w:bCs/>
        </w:rPr>
        <w:t xml:space="preserve">ca </w:t>
      </w:r>
      <w:r w:rsidR="00991D61" w:rsidRPr="00C16840">
        <w:rPr>
          <w:bCs/>
        </w:rPr>
        <w:t>2</w:t>
      </w:r>
      <w:r w:rsidR="0082235F" w:rsidRPr="00C16840">
        <w:rPr>
          <w:bCs/>
        </w:rPr>
        <w:t>4</w:t>
      </w:r>
      <w:r w:rsidR="00991D61" w:rsidRPr="00C16840">
        <w:rPr>
          <w:bCs/>
        </w:rPr>
        <w:t xml:space="preserve"> tuhat põgenikku</w:t>
      </w:r>
      <w:r w:rsidR="00543962" w:rsidRPr="00C16840">
        <w:rPr>
          <w:bCs/>
        </w:rPr>
        <w:t xml:space="preserve">. </w:t>
      </w:r>
      <w:r w:rsidR="00991D61" w:rsidRPr="00C16840">
        <w:rPr>
          <w:bCs/>
        </w:rPr>
        <w:t xml:space="preserve">Kõige </w:t>
      </w:r>
      <w:r w:rsidR="009945AF" w:rsidRPr="00C16840">
        <w:rPr>
          <w:bCs/>
        </w:rPr>
        <w:t xml:space="preserve">esimese mõjuna </w:t>
      </w:r>
      <w:r w:rsidR="00991D61" w:rsidRPr="00C16840">
        <w:rPr>
          <w:bCs/>
        </w:rPr>
        <w:t>tekitavad põgenikud üsna suure surve riigi kuludele (mis samaaegselt toetab majandus</w:t>
      </w:r>
      <w:r w:rsidR="009945AF" w:rsidRPr="00C16840">
        <w:rPr>
          <w:bCs/>
        </w:rPr>
        <w:softHyphen/>
      </w:r>
      <w:r w:rsidR="00991D61" w:rsidRPr="00C16840">
        <w:rPr>
          <w:bCs/>
        </w:rPr>
        <w:t xml:space="preserve">aktiivsust Eestis, sest riigi kasvanud kulutused on teiselt poolt täiendav töötasu ja täiendavad tellimused ettevõtetele). </w:t>
      </w:r>
      <w:r w:rsidR="00606129" w:rsidRPr="00C16840">
        <w:rPr>
          <w:bCs/>
        </w:rPr>
        <w:t xml:space="preserve">Mõne aja jooksul jõuavad põgenikud tööturule, leevendades </w:t>
      </w:r>
      <w:r w:rsidR="00991D61" w:rsidRPr="00C16840">
        <w:rPr>
          <w:bCs/>
        </w:rPr>
        <w:t xml:space="preserve">tööjõupuudust tööturul </w:t>
      </w:r>
      <w:r w:rsidR="00606129" w:rsidRPr="00C16840">
        <w:rPr>
          <w:bCs/>
        </w:rPr>
        <w:t xml:space="preserve">ja </w:t>
      </w:r>
      <w:r w:rsidR="00991D61" w:rsidRPr="00C16840">
        <w:rPr>
          <w:bCs/>
        </w:rPr>
        <w:t>pidurda</w:t>
      </w:r>
      <w:r w:rsidR="00606129" w:rsidRPr="00C16840">
        <w:rPr>
          <w:bCs/>
        </w:rPr>
        <w:t>des</w:t>
      </w:r>
      <w:r w:rsidR="00991D61" w:rsidRPr="00C16840">
        <w:rPr>
          <w:bCs/>
        </w:rPr>
        <w:t xml:space="preserve"> palgakasvu. Täpset põgenike mõju tööturule on aga väga raske hinnata, sest hetkel pole infot põgenike oskuste kohta ja lisanduv tööjõud tõenäoliselt ei pruugi vastata üksüheselt tööturu vajadustele. Arvestades tänast vabade töökohtade hulka (6 000 kuni 11 000) ning halvenevat konjunktuuri, võib tööpuudus tööturule tulevate põgenike seas jääda väga-väga suureks. Hinnanguliselt võiks arvestada, et </w:t>
      </w:r>
      <w:r w:rsidR="002C6DDF">
        <w:rPr>
          <w:bCs/>
        </w:rPr>
        <w:t>3</w:t>
      </w:r>
      <w:r w:rsidR="00991D61" w:rsidRPr="00C16840">
        <w:rPr>
          <w:bCs/>
        </w:rPr>
        <w:t>0 000 põgenik</w:t>
      </w:r>
      <w:r w:rsidR="00C86D27">
        <w:rPr>
          <w:bCs/>
        </w:rPr>
        <w:t>k</w:t>
      </w:r>
      <w:r w:rsidR="00991D61" w:rsidRPr="00C16840">
        <w:rPr>
          <w:bCs/>
        </w:rPr>
        <w:t>u suuren</w:t>
      </w:r>
      <w:r w:rsidR="00C86D27">
        <w:rPr>
          <w:bCs/>
        </w:rPr>
        <w:t>davad</w:t>
      </w:r>
      <w:r w:rsidR="00991D61" w:rsidRPr="00C16840">
        <w:rPr>
          <w:bCs/>
        </w:rPr>
        <w:t xml:space="preserve"> tööpuuduse näitaja</w:t>
      </w:r>
      <w:r w:rsidR="00C86D27">
        <w:rPr>
          <w:bCs/>
        </w:rPr>
        <w:t>t</w:t>
      </w:r>
      <w:r w:rsidR="00991D61" w:rsidRPr="00C16840">
        <w:rPr>
          <w:bCs/>
        </w:rPr>
        <w:t xml:space="preserve"> Eestis tervikuna </w:t>
      </w:r>
      <w:r w:rsidR="00C86D27">
        <w:rPr>
          <w:bCs/>
        </w:rPr>
        <w:t xml:space="preserve">sel </w:t>
      </w:r>
      <w:r w:rsidR="00991D61" w:rsidRPr="00C16840">
        <w:rPr>
          <w:bCs/>
        </w:rPr>
        <w:t xml:space="preserve">aastal </w:t>
      </w:r>
      <w:r w:rsidR="002C6DDF">
        <w:rPr>
          <w:bCs/>
        </w:rPr>
        <w:t>1</w:t>
      </w:r>
      <w:r w:rsidR="00991D61" w:rsidRPr="00C16840">
        <w:rPr>
          <w:bCs/>
        </w:rPr>
        <w:t xml:space="preserve"> protsendipunkti ja </w:t>
      </w:r>
      <w:r w:rsidR="00C86D27">
        <w:rPr>
          <w:bCs/>
        </w:rPr>
        <w:t xml:space="preserve">2023. </w:t>
      </w:r>
      <w:r w:rsidR="00991D61" w:rsidRPr="00C16840">
        <w:rPr>
          <w:bCs/>
        </w:rPr>
        <w:t>aastal 0,</w:t>
      </w:r>
      <w:r w:rsidR="002C6DDF">
        <w:rPr>
          <w:bCs/>
        </w:rPr>
        <w:t>5</w:t>
      </w:r>
      <w:r w:rsidR="00991D61" w:rsidRPr="00C16840">
        <w:rPr>
          <w:bCs/>
        </w:rPr>
        <w:t xml:space="preserve"> protsendipunkti võrra</w:t>
      </w:r>
      <w:r w:rsidRPr="00C16840">
        <w:rPr>
          <w:bCs/>
        </w:rPr>
        <w:t>.</w:t>
      </w:r>
      <w:r w:rsidR="00D86528">
        <w:rPr>
          <w:bCs/>
        </w:rPr>
        <w:t xml:space="preserve"> (vt täpsemalt Lisa 3)</w:t>
      </w:r>
    </w:p>
    <w:p w14:paraId="569C820C" w14:textId="1807955A" w:rsidR="009945AF" w:rsidRPr="00C16840" w:rsidRDefault="006B54F4" w:rsidP="008B4CBE">
      <w:pPr>
        <w:pStyle w:val="Phitekst"/>
        <w:spacing w:line="22" w:lineRule="atLeast"/>
      </w:pPr>
      <w:r w:rsidRPr="00C16840">
        <w:rPr>
          <w:rStyle w:val="Tugev"/>
        </w:rPr>
        <w:t>Tööstus- ja toidutoorme ning energiatoodete hinnatõus.</w:t>
      </w:r>
      <w:r w:rsidRPr="00C16840">
        <w:t xml:space="preserve"> </w:t>
      </w:r>
      <w:r w:rsidR="00991D61" w:rsidRPr="00C16840">
        <w:rPr>
          <w:bCs/>
        </w:rPr>
        <w:t>Venemaa</w:t>
      </w:r>
      <w:r w:rsidRPr="00C16840">
        <w:rPr>
          <w:bCs/>
        </w:rPr>
        <w:t>, Valgevene</w:t>
      </w:r>
      <w:r w:rsidR="00991D61" w:rsidRPr="00C16840">
        <w:rPr>
          <w:bCs/>
        </w:rPr>
        <w:t xml:space="preserve"> ja Ukraina roll maailmamajanduses on suhteliselt väike, kuid teatud </w:t>
      </w:r>
      <w:r w:rsidR="00FE69BA" w:rsidRPr="00C16840">
        <w:rPr>
          <w:bCs/>
        </w:rPr>
        <w:t xml:space="preserve">toorainete ning energiatoodete </w:t>
      </w:r>
      <w:r w:rsidR="00991D61" w:rsidRPr="00C16840">
        <w:rPr>
          <w:bCs/>
        </w:rPr>
        <w:t>puhul o</w:t>
      </w:r>
      <w:r w:rsidR="00606129" w:rsidRPr="00C16840">
        <w:rPr>
          <w:bCs/>
        </w:rPr>
        <w:t>li</w:t>
      </w:r>
      <w:r w:rsidR="00991D61" w:rsidRPr="00C16840">
        <w:rPr>
          <w:bCs/>
        </w:rPr>
        <w:t xml:space="preserve"> tegu olulis</w:t>
      </w:r>
      <w:r w:rsidR="00606129" w:rsidRPr="00C16840">
        <w:rPr>
          <w:bCs/>
        </w:rPr>
        <w:t>t</w:t>
      </w:r>
      <w:r w:rsidR="00991D61" w:rsidRPr="00C16840">
        <w:rPr>
          <w:bCs/>
        </w:rPr>
        <w:t xml:space="preserve">e tarnijatega </w:t>
      </w:r>
      <w:r w:rsidR="00606129" w:rsidRPr="00C16840">
        <w:rPr>
          <w:bCs/>
        </w:rPr>
        <w:t xml:space="preserve">ka terves </w:t>
      </w:r>
      <w:r w:rsidR="00991D61" w:rsidRPr="00C16840">
        <w:rPr>
          <w:bCs/>
        </w:rPr>
        <w:t>maailmas. Seetõttu on sõda toonud kaasa energiatoodete, metalli ja teraviljade hinnatõusu maailmaturul.</w:t>
      </w:r>
      <w:r w:rsidR="00FE69BA" w:rsidRPr="00C16840">
        <w:rPr>
          <w:bCs/>
        </w:rPr>
        <w:t xml:space="preserve"> Eriti pinev on olukord maagaasiga, mille hind on Euroopas kerkinud pretsedenditult kõrgele ja püsib kõrgel kuni järgmise kevadeni.</w:t>
      </w:r>
      <w:r w:rsidR="00991D61" w:rsidRPr="00C16840">
        <w:rPr>
          <w:bCs/>
        </w:rPr>
        <w:t xml:space="preserve"> </w:t>
      </w:r>
      <w:r w:rsidR="00606129" w:rsidRPr="00C16840">
        <w:rPr>
          <w:bCs/>
        </w:rPr>
        <w:t xml:space="preserve">Oleme sellega arvestanud ka oma </w:t>
      </w:r>
      <w:r w:rsidRPr="00C16840">
        <w:rPr>
          <w:bCs/>
        </w:rPr>
        <w:t xml:space="preserve">prognoosis. </w:t>
      </w:r>
      <w:r w:rsidRPr="00C16840">
        <w:t xml:space="preserve">Sõjategevusega kaasnenud energia- ja toorainehindade tõus kiirendab tarbijahindade kasvu üle </w:t>
      </w:r>
      <w:r w:rsidR="00FE69BA" w:rsidRPr="00C16840">
        <w:t>kaheteist</w:t>
      </w:r>
      <w:r w:rsidR="00C86D27">
        <w:t>kümne</w:t>
      </w:r>
      <w:r w:rsidR="00FE69BA" w:rsidRPr="00C16840">
        <w:t xml:space="preserve"> </w:t>
      </w:r>
      <w:r w:rsidRPr="00C16840">
        <w:t>protsendi</w:t>
      </w:r>
      <w:r w:rsidR="00FE69BA" w:rsidRPr="00C16840">
        <w:t xml:space="preserve"> ja </w:t>
      </w:r>
      <w:r w:rsidRPr="00C16840">
        <w:t xml:space="preserve">poole </w:t>
      </w:r>
      <w:r w:rsidR="00FE69BA" w:rsidRPr="00C16840">
        <w:t xml:space="preserve">sellest tingib </w:t>
      </w:r>
      <w:r w:rsidRPr="00C16840">
        <w:t>energia</w:t>
      </w:r>
      <w:r w:rsidR="00FE69BA" w:rsidRPr="00C16840">
        <w:t xml:space="preserve"> hinnatõus</w:t>
      </w:r>
      <w:r w:rsidRPr="00C16840">
        <w:t>.</w:t>
      </w:r>
    </w:p>
    <w:p w14:paraId="4C316F32" w14:textId="197DF2ED" w:rsidR="005E4AA2" w:rsidRDefault="005E4AA2" w:rsidP="008B4CBE">
      <w:pPr>
        <w:pStyle w:val="Pealdis"/>
        <w:spacing w:line="22" w:lineRule="atLeast"/>
      </w:pPr>
      <w:bookmarkStart w:id="150" w:name="_Toc100230280"/>
      <w:r>
        <w:lastRenderedPageBreak/>
        <w:t xml:space="preserve">Joonis </w:t>
      </w:r>
      <w:fldSimple w:instr=" SEQ Joonis \* ARABIC ">
        <w:r w:rsidR="000C04EE">
          <w:rPr>
            <w:noProof/>
          </w:rPr>
          <w:t>11</w:t>
        </w:r>
      </w:fldSimple>
      <w:r>
        <w:t>. Maagaasi hind Euroopas EUR/MWh</w:t>
      </w:r>
      <w:bookmarkEnd w:id="150"/>
    </w:p>
    <w:p w14:paraId="6DA718F1" w14:textId="0FB356F8" w:rsidR="005E4AA2" w:rsidRDefault="005E4AA2" w:rsidP="00EE0EC6">
      <w:pPr>
        <w:pStyle w:val="Phitekst"/>
        <w:spacing w:line="22" w:lineRule="atLeast"/>
      </w:pPr>
      <w:r>
        <w:rPr>
          <w:noProof/>
          <w:lang w:eastAsia="et-EE"/>
        </w:rPr>
        <w:drawing>
          <wp:inline distT="0" distB="0" distL="0" distR="0" wp14:anchorId="6E1C29A8" wp14:editId="46079A19">
            <wp:extent cx="2943225" cy="2648585"/>
            <wp:effectExtent l="0" t="0" r="0" b="0"/>
            <wp:docPr id="16" name="Diagramm 16">
              <a:extLst xmlns:a="http://schemas.openxmlformats.org/drawingml/2006/main">
                <a:ext uri="{FF2B5EF4-FFF2-40B4-BE49-F238E27FC236}">
                  <a16:creationId xmlns:a16="http://schemas.microsoft.com/office/drawing/2014/main" id="{D1CE9A8C-A9AC-43C6-8CE8-3F8D259B39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2FD3143" w14:textId="75F9531E" w:rsidR="006B54F4" w:rsidRPr="00C16840" w:rsidRDefault="00991D61" w:rsidP="00C16840">
      <w:pPr>
        <w:pStyle w:val="Phitekst"/>
        <w:rPr>
          <w:bCs/>
        </w:rPr>
      </w:pPr>
      <w:r w:rsidRPr="00C16840">
        <w:rPr>
          <w:b/>
        </w:rPr>
        <w:t>Maailmamajanduse jahenemine</w:t>
      </w:r>
      <w:r w:rsidR="006B54F4" w:rsidRPr="00C16840">
        <w:rPr>
          <w:b/>
        </w:rPr>
        <w:t xml:space="preserve">. </w:t>
      </w:r>
      <w:r w:rsidRPr="00C16840">
        <w:rPr>
          <w:bCs/>
        </w:rPr>
        <w:t xml:space="preserve">Suured rahvusvahelised institutsioonid </w:t>
      </w:r>
      <w:r w:rsidR="006B54F4" w:rsidRPr="00C16840">
        <w:rPr>
          <w:bCs/>
        </w:rPr>
        <w:t xml:space="preserve">ja teiste riikide majandusanalüütikud </w:t>
      </w:r>
      <w:r w:rsidRPr="00C16840">
        <w:rPr>
          <w:bCs/>
        </w:rPr>
        <w:t>on maailma</w:t>
      </w:r>
      <w:r w:rsidR="006B54F4" w:rsidRPr="00C16840">
        <w:rPr>
          <w:bCs/>
        </w:rPr>
        <w:softHyphen/>
      </w:r>
      <w:r w:rsidRPr="00C16840">
        <w:rPr>
          <w:bCs/>
        </w:rPr>
        <w:t>majanduse mõju hindamisel jäänud seni võrdlemisi vaoshoituks ja ettevaatlikuks</w:t>
      </w:r>
      <w:r w:rsidR="006B54F4" w:rsidRPr="00C16840">
        <w:rPr>
          <w:bCs/>
        </w:rPr>
        <w:t>. Eeldatakse, et sõja tulemusel kahaneb majanduskasv 2022</w:t>
      </w:r>
      <w:r w:rsidR="00C86D27">
        <w:rPr>
          <w:bCs/>
        </w:rPr>
        <w:t>.</w:t>
      </w:r>
      <w:r w:rsidR="006B54F4" w:rsidRPr="00C16840">
        <w:rPr>
          <w:bCs/>
        </w:rPr>
        <w:t xml:space="preserve"> aastal 1-2 protsendipunkti võrra ning inflatsioon kiireneb 2-3 protsendipunkti võrra</w:t>
      </w:r>
      <w:r w:rsidRPr="00C16840">
        <w:rPr>
          <w:bCs/>
        </w:rPr>
        <w:t xml:space="preserve">. </w:t>
      </w:r>
      <w:r w:rsidR="006B54F4" w:rsidRPr="00C16840">
        <w:rPr>
          <w:bCs/>
        </w:rPr>
        <w:t>S</w:t>
      </w:r>
      <w:r w:rsidRPr="00C16840">
        <w:rPr>
          <w:bCs/>
        </w:rPr>
        <w:t xml:space="preserve">ee </w:t>
      </w:r>
      <w:r w:rsidR="006B54F4" w:rsidRPr="00C16840">
        <w:rPr>
          <w:bCs/>
        </w:rPr>
        <w:t xml:space="preserve">peegeldab </w:t>
      </w:r>
      <w:r w:rsidRPr="00C16840">
        <w:rPr>
          <w:bCs/>
        </w:rPr>
        <w:t>Venemaa</w:t>
      </w:r>
      <w:r w:rsidR="006B54F4" w:rsidRPr="00C16840">
        <w:rPr>
          <w:bCs/>
        </w:rPr>
        <w:t>, Valgevene</w:t>
      </w:r>
      <w:r w:rsidRPr="00C16840">
        <w:rPr>
          <w:bCs/>
        </w:rPr>
        <w:t xml:space="preserve"> ja Ukraina võrdlemisi väikest osakaalu maailmamajanduses. </w:t>
      </w:r>
      <w:r w:rsidR="00D11AB8" w:rsidRPr="00C16840">
        <w:rPr>
          <w:bCs/>
        </w:rPr>
        <w:t>Tänu geograafilisele lähedusele on meie regiooni riikide mõjuhinnangud toodud skaala negatiivsemas otsas.</w:t>
      </w:r>
    </w:p>
    <w:p w14:paraId="62DE70CE" w14:textId="78D16FC7" w:rsidR="00FE69BA" w:rsidRDefault="00FE69BA" w:rsidP="00EE0EC6">
      <w:pPr>
        <w:pStyle w:val="Pealdis"/>
        <w:spacing w:line="22" w:lineRule="atLeast"/>
      </w:pPr>
      <w:bookmarkStart w:id="151" w:name="_Toc100230281"/>
      <w:r>
        <w:t xml:space="preserve">Joonis </w:t>
      </w:r>
      <w:fldSimple w:instr=" SEQ Joonis \* ARABIC ">
        <w:r w:rsidR="000C04EE">
          <w:rPr>
            <w:noProof/>
          </w:rPr>
          <w:t>12</w:t>
        </w:r>
      </w:fldSimple>
      <w:r>
        <w:t>. Tarbijate kindlustunde indeks Eestis ja Euroopa Liidus (</w:t>
      </w:r>
      <w:proofErr w:type="spellStart"/>
      <w:r>
        <w:t>Eurostati</w:t>
      </w:r>
      <w:proofErr w:type="spellEnd"/>
      <w:r>
        <w:t xml:space="preserve"> andmed)</w:t>
      </w:r>
      <w:bookmarkEnd w:id="151"/>
    </w:p>
    <w:p w14:paraId="312996C0" w14:textId="2D14AFA8" w:rsidR="00FE69BA" w:rsidRDefault="00FE69BA">
      <w:pPr>
        <w:spacing w:line="22" w:lineRule="atLeast"/>
        <w:jc w:val="both"/>
      </w:pPr>
      <w:r w:rsidRPr="00FE69BA">
        <w:rPr>
          <w:noProof/>
          <w:lang w:eastAsia="et-EE"/>
        </w:rPr>
        <w:drawing>
          <wp:inline distT="0" distB="0" distL="0" distR="0" wp14:anchorId="0DA381AC" wp14:editId="2FDD532B">
            <wp:extent cx="2943225" cy="2865120"/>
            <wp:effectExtent l="0" t="0" r="0" b="0"/>
            <wp:docPr id="18" name="Diagramm 18">
              <a:extLst xmlns:a="http://schemas.openxmlformats.org/drawingml/2006/main">
                <a:ext uri="{FF2B5EF4-FFF2-40B4-BE49-F238E27FC236}">
                  <a16:creationId xmlns:a16="http://schemas.microsoft.com/office/drawing/2014/main" id="{13E4C848-12C9-43CE-9CF4-EECCFD803C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2691F5A" w14:textId="5E80DEA4" w:rsidR="00D11AB8" w:rsidRDefault="00FE69BA" w:rsidP="00C16840">
      <w:pPr>
        <w:pStyle w:val="Phitekst"/>
      </w:pPr>
      <w:r>
        <w:br w:type="column"/>
      </w:r>
      <w:r w:rsidR="00991D61" w:rsidRPr="00C16840">
        <w:rPr>
          <w:b/>
        </w:rPr>
        <w:t>Ebakindluse kasv.</w:t>
      </w:r>
      <w:r w:rsidR="00991D61" w:rsidRPr="00C16840">
        <w:rPr>
          <w:bCs/>
        </w:rPr>
        <w:t xml:space="preserve"> Ebakindluse kasv on majandusarengule potentsiaalselt kõige suurem riskiallikas</w:t>
      </w:r>
      <w:r w:rsidR="00D11AB8" w:rsidRPr="00C16840">
        <w:rPr>
          <w:bCs/>
        </w:rPr>
        <w:t>, sest seda on raske mõõta, aga samas võib</w:t>
      </w:r>
      <w:r w:rsidR="00991D61" w:rsidRPr="00C16840">
        <w:rPr>
          <w:bCs/>
        </w:rPr>
        <w:t xml:space="preserve"> </w:t>
      </w:r>
      <w:r w:rsidR="00D11AB8" w:rsidRPr="00C16840">
        <w:rPr>
          <w:bCs/>
        </w:rPr>
        <w:t xml:space="preserve">ebakindluse kasv toimuda väga kiiresti. Ebakindlus </w:t>
      </w:r>
      <w:r w:rsidR="00991D61" w:rsidRPr="00C16840">
        <w:rPr>
          <w:bCs/>
        </w:rPr>
        <w:t>võib tingida investeerimis</w:t>
      </w:r>
      <w:r w:rsidR="00D11AB8" w:rsidRPr="00C16840">
        <w:rPr>
          <w:bCs/>
        </w:rPr>
        <w:softHyphen/>
      </w:r>
      <w:r w:rsidR="00991D61" w:rsidRPr="00C16840">
        <w:rPr>
          <w:bCs/>
        </w:rPr>
        <w:t>otsuste edasilükkamise, sh väliskapitali sissevoolu pidur</w:t>
      </w:r>
      <w:r w:rsidR="00D11AB8" w:rsidRPr="00C16840">
        <w:rPr>
          <w:bCs/>
        </w:rPr>
        <w:softHyphen/>
      </w:r>
      <w:r w:rsidR="00991D61" w:rsidRPr="00C16840">
        <w:rPr>
          <w:bCs/>
        </w:rPr>
        <w:t xml:space="preserve">dumist ja rahastamisraskuste tõusu. Seda nii määramatuse suurenemise kui ka otsese sõjakartuse tõttu. </w:t>
      </w:r>
      <w:r w:rsidR="00D11AB8" w:rsidRPr="00C16840">
        <w:rPr>
          <w:bCs/>
        </w:rPr>
        <w:t xml:space="preserve">Nii tarbijate kui </w:t>
      </w:r>
      <w:r w:rsidR="00540876">
        <w:rPr>
          <w:bCs/>
        </w:rPr>
        <w:t xml:space="preserve">ka </w:t>
      </w:r>
      <w:r w:rsidR="00D11AB8" w:rsidRPr="00C16840">
        <w:rPr>
          <w:bCs/>
        </w:rPr>
        <w:t xml:space="preserve">ettevõtete kindlustunne </w:t>
      </w:r>
      <w:r w:rsidR="00540876" w:rsidRPr="00C16840">
        <w:rPr>
          <w:bCs/>
        </w:rPr>
        <w:t xml:space="preserve">kahanes </w:t>
      </w:r>
      <w:r w:rsidR="00D11AB8" w:rsidRPr="00C16840">
        <w:rPr>
          <w:bCs/>
        </w:rPr>
        <w:t>märtsis kõikjal Euroopas. Samas finants</w:t>
      </w:r>
      <w:r w:rsidR="00D11AB8" w:rsidRPr="00C16840">
        <w:rPr>
          <w:bCs/>
        </w:rPr>
        <w:softHyphen/>
        <w:t>turgude reaktsioon on olnud kõikjal võrdlemisi vaoshoitud.</w:t>
      </w:r>
      <w:r w:rsidR="00D11AB8">
        <w:t xml:space="preserve"> </w:t>
      </w:r>
    </w:p>
    <w:p w14:paraId="7549C86F" w14:textId="1952DCBF" w:rsidR="00FE69BA" w:rsidRDefault="00FE69BA" w:rsidP="00EE0EC6">
      <w:pPr>
        <w:pStyle w:val="Pealdis"/>
      </w:pPr>
      <w:bookmarkStart w:id="152" w:name="_Toc100230282"/>
      <w:r>
        <w:t xml:space="preserve">Joonis </w:t>
      </w:r>
      <w:fldSimple w:instr=" SEQ Joonis \* ARABIC ">
        <w:r w:rsidR="000C04EE">
          <w:rPr>
            <w:noProof/>
          </w:rPr>
          <w:t>13</w:t>
        </w:r>
      </w:fldSimple>
      <w:r>
        <w:t>. Ettevõtete kindlustunde indeks Eestis ja Euroopa Liidus (</w:t>
      </w:r>
      <w:proofErr w:type="spellStart"/>
      <w:r>
        <w:t>Eurostati</w:t>
      </w:r>
      <w:proofErr w:type="spellEnd"/>
      <w:r>
        <w:t xml:space="preserve"> andmed)</w:t>
      </w:r>
      <w:bookmarkEnd w:id="152"/>
    </w:p>
    <w:p w14:paraId="34590052" w14:textId="373DB3B7" w:rsidR="00FE69BA" w:rsidRDefault="00FE69BA" w:rsidP="00EE0EC6">
      <w:pPr>
        <w:spacing w:line="22" w:lineRule="atLeast"/>
        <w:jc w:val="both"/>
      </w:pPr>
      <w:r w:rsidRPr="00FE69BA">
        <w:rPr>
          <w:noProof/>
          <w:lang w:eastAsia="et-EE"/>
        </w:rPr>
        <w:drawing>
          <wp:inline distT="0" distB="0" distL="0" distR="0" wp14:anchorId="55243C3C" wp14:editId="34A95D8D">
            <wp:extent cx="2943225" cy="2855741"/>
            <wp:effectExtent l="0" t="0" r="0" b="1905"/>
            <wp:docPr id="19" name="Diagramm 19">
              <a:extLst xmlns:a="http://schemas.openxmlformats.org/drawingml/2006/main">
                <a:ext uri="{FF2B5EF4-FFF2-40B4-BE49-F238E27FC236}">
                  <a16:creationId xmlns:a16="http://schemas.microsoft.com/office/drawing/2014/main" id="{253F9251-CDEC-415F-831B-1AE5B55451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ACDEC1E" w14:textId="77777777" w:rsidR="0082235F" w:rsidRDefault="0082235F" w:rsidP="00991D61">
      <w:pPr>
        <w:spacing w:line="240" w:lineRule="auto"/>
        <w:jc w:val="both"/>
        <w:sectPr w:rsidR="0082235F" w:rsidSect="00DA01FE">
          <w:endnotePr>
            <w:numFmt w:val="decimal"/>
          </w:endnotePr>
          <w:type w:val="continuous"/>
          <w:pgSz w:w="11906" w:h="16838"/>
          <w:pgMar w:top="964" w:right="964" w:bottom="964" w:left="964" w:header="709" w:footer="709" w:gutter="0"/>
          <w:cols w:num="2" w:space="708"/>
          <w:docGrid w:linePitch="360"/>
        </w:sectPr>
      </w:pPr>
    </w:p>
    <w:p w14:paraId="13912522" w14:textId="389CBD3A" w:rsidR="00CC5315" w:rsidRPr="007A2CD1" w:rsidRDefault="00CC5315" w:rsidP="00CC5315">
      <w:pPr>
        <w:pStyle w:val="Numbritapealkiri"/>
        <w:jc w:val="both"/>
      </w:pPr>
      <w:bookmarkStart w:id="153" w:name="_Toc100230267"/>
      <w:r w:rsidRPr="007A2CD1">
        <w:lastRenderedPageBreak/>
        <w:t xml:space="preserve">Lisa </w:t>
      </w:r>
      <w:r w:rsidRPr="007A2CD1">
        <w:rPr>
          <w:noProof/>
        </w:rPr>
        <w:fldChar w:fldCharType="begin"/>
      </w:r>
      <w:r w:rsidRPr="007A2CD1">
        <w:rPr>
          <w:noProof/>
        </w:rPr>
        <w:instrText xml:space="preserve"> SEQ Lisa \* ARABIC </w:instrText>
      </w:r>
      <w:r w:rsidRPr="007A2CD1">
        <w:rPr>
          <w:noProof/>
        </w:rPr>
        <w:fldChar w:fldCharType="separate"/>
      </w:r>
      <w:r w:rsidR="0010545C">
        <w:rPr>
          <w:noProof/>
        </w:rPr>
        <w:t>3</w:t>
      </w:r>
      <w:r w:rsidRPr="007A2CD1">
        <w:rPr>
          <w:noProof/>
        </w:rPr>
        <w:fldChar w:fldCharType="end"/>
      </w:r>
      <w:r w:rsidRPr="007A2CD1">
        <w:t xml:space="preserve">. </w:t>
      </w:r>
      <w:r w:rsidR="00D540F8" w:rsidRPr="00D540F8">
        <w:t>Sõjapõgenike mõju Eesti tööturule ja valitsussektori kuludele</w:t>
      </w:r>
      <w:bookmarkEnd w:id="153"/>
    </w:p>
    <w:p w14:paraId="424A534E" w14:textId="77777777" w:rsidR="00CC5315" w:rsidRPr="007A2CD1" w:rsidRDefault="00CC5315" w:rsidP="00CC5315">
      <w:pPr>
        <w:spacing w:after="0" w:line="240" w:lineRule="auto"/>
        <w:jc w:val="both"/>
        <w:sectPr w:rsidR="00CC5315" w:rsidRPr="007A2CD1" w:rsidSect="00F418A6">
          <w:endnotePr>
            <w:numFmt w:val="decimal"/>
          </w:endnotePr>
          <w:pgSz w:w="11906" w:h="16838"/>
          <w:pgMar w:top="964" w:right="964" w:bottom="964" w:left="964" w:header="709" w:footer="709" w:gutter="0"/>
          <w:cols w:space="708"/>
          <w:docGrid w:linePitch="360"/>
        </w:sectPr>
      </w:pPr>
    </w:p>
    <w:p w14:paraId="1AE0B807" w14:textId="6A0F3607" w:rsidR="00D540F8" w:rsidRPr="00D86528" w:rsidRDefault="00D540F8" w:rsidP="00D86528">
      <w:pPr>
        <w:pStyle w:val="Phitekst"/>
        <w:rPr>
          <w:bCs/>
        </w:rPr>
      </w:pPr>
      <w:r w:rsidRPr="00D86528">
        <w:rPr>
          <w:bCs/>
        </w:rPr>
        <w:t>Eestisse oli märtsi lõpuks jõudnud üle 2</w:t>
      </w:r>
      <w:r w:rsidR="00140CB4" w:rsidRPr="00D86528">
        <w:rPr>
          <w:bCs/>
        </w:rPr>
        <w:t>4</w:t>
      </w:r>
      <w:r w:rsidRPr="00D86528">
        <w:rPr>
          <w:bCs/>
        </w:rPr>
        <w:t xml:space="preserve"> tuhande sõjapõgeniku Ukrainast, prognoosi avalikustamise kuupäevaks on neid tõenäoliselt suurusjärgus 30 tuhat inimest. Vastavalt Euroopa Liidu otsusele pakutakse kõigile Venemaa sõjalise agressiooni eest kodumaalt pagenud inimestele ajutist kaitset. Ajutise kaitse taotlemisel Eestis saavad Ukraina kodanikud aastase elamisloa, mida vajadusel pikendatakse ning millega antakse neile samad õigused, nagu ülejäänud Eesti elanik</w:t>
      </w:r>
      <w:r w:rsidR="0023610E" w:rsidRPr="00D86528">
        <w:rPr>
          <w:bCs/>
        </w:rPr>
        <w:t>ele</w:t>
      </w:r>
      <w:r w:rsidRPr="00D86528">
        <w:rPr>
          <w:bCs/>
        </w:rPr>
        <w:t>.</w:t>
      </w:r>
    </w:p>
    <w:p w14:paraId="3A00B7DD" w14:textId="4A0EC32B" w:rsidR="00D540F8" w:rsidRPr="00D86528" w:rsidRDefault="00D540F8" w:rsidP="00D86528">
      <w:pPr>
        <w:pStyle w:val="Phitekst"/>
        <w:rPr>
          <w:bCs/>
        </w:rPr>
      </w:pPr>
      <w:r w:rsidRPr="00D86528">
        <w:rPr>
          <w:rStyle w:val="Tugev"/>
        </w:rPr>
        <w:t>Käesolevas prognoosis oleme arvestanud 30</w:t>
      </w:r>
      <w:r w:rsidR="00907AEF">
        <w:rPr>
          <w:rStyle w:val="Tugev"/>
        </w:rPr>
        <w:t> </w:t>
      </w:r>
      <w:r w:rsidR="00B9194A" w:rsidRPr="00D86528">
        <w:rPr>
          <w:rStyle w:val="Tugev"/>
        </w:rPr>
        <w:t>tuhande</w:t>
      </w:r>
      <w:r w:rsidRPr="00D86528">
        <w:rPr>
          <w:rStyle w:val="Tugev"/>
        </w:rPr>
        <w:t xml:space="preserve"> sõjapõgeniku mõjuga riigi kuludele</w:t>
      </w:r>
      <w:r w:rsidRPr="00D86528">
        <w:rPr>
          <w:bCs/>
        </w:rPr>
        <w:t xml:space="preserve"> ja ainult neile kuludele, mis tekivad kehtivas õigusruumis, ehk nende jaoks ei ole vaja eraldi otsuseid või seadusemuudatusi. Selline kajastamine tuleneb meie prognoosimetoodikast, mille järgi meie prognoosides ei sisaldu tulevased otsused, milles me ei saa kindlad olla. Arvestades seda piirangut, kulutab riik sel aastal Sotsiaalministeeriumi ja teiste asutuste hinnangu</w:t>
      </w:r>
      <w:r w:rsidR="00B37FC4">
        <w:rPr>
          <w:rStyle w:val="Lpumrkuseviide"/>
          <w:bCs/>
        </w:rPr>
        <w:endnoteReference w:id="9"/>
      </w:r>
      <w:r w:rsidRPr="00D86528">
        <w:rPr>
          <w:bCs/>
        </w:rPr>
        <w:t xml:space="preserve"> kohaselt põgenikele 140 miljonit eurot</w:t>
      </w:r>
      <w:r w:rsidR="00B37FC4">
        <w:rPr>
          <w:bCs/>
        </w:rPr>
        <w:t xml:space="preserve"> ehk</w:t>
      </w:r>
      <w:r w:rsidRPr="00D86528">
        <w:rPr>
          <w:bCs/>
        </w:rPr>
        <w:t xml:space="preserve"> 4700 eurot põgeniku kohta. See sisaldab hüvitisi ja teenuseid nii keskvalitsuselt, Töötukassalt kui ka Tervisekassalt. Samuti kulutusi majutusele, tõlkele ja toiduabile. Meie prognoos sisaldab ka täiendavaid kulusid, mida kannavad kohalikud omavalitsused. Samas on selge, et põgenikega seotud kulud </w:t>
      </w:r>
      <w:r w:rsidR="00767E86" w:rsidRPr="00D86528">
        <w:rPr>
          <w:bCs/>
        </w:rPr>
        <w:t xml:space="preserve">võivad </w:t>
      </w:r>
      <w:r w:rsidRPr="00D86528">
        <w:rPr>
          <w:bCs/>
        </w:rPr>
        <w:t>osutud</w:t>
      </w:r>
      <w:r w:rsidR="00767E86" w:rsidRPr="00D86528">
        <w:rPr>
          <w:bCs/>
        </w:rPr>
        <w:t>a</w:t>
      </w:r>
      <w:r w:rsidRPr="00D86528">
        <w:rPr>
          <w:bCs/>
        </w:rPr>
        <w:t xml:space="preserve"> veelgi suuremaks. OECD leiab oma analüüsis</w:t>
      </w:r>
      <w:r w:rsidR="00B37FC4">
        <w:rPr>
          <w:rStyle w:val="Lpumrkuseviide"/>
          <w:bCs/>
        </w:rPr>
        <w:endnoteReference w:id="10"/>
      </w:r>
      <w:r w:rsidRPr="00D86528">
        <w:rPr>
          <w:bCs/>
        </w:rPr>
        <w:t xml:space="preserve">, et ühe põgeniku integreerimise kulu esimesel aastal on 10 000 eurot ja võib osutuda ka suuremaks, kui riik osutab neile integratsiooni </w:t>
      </w:r>
      <w:r w:rsidR="00767E86" w:rsidRPr="00D86528">
        <w:rPr>
          <w:bCs/>
        </w:rPr>
        <w:t xml:space="preserve">abistavaid </w:t>
      </w:r>
      <w:r w:rsidRPr="00D86528">
        <w:rPr>
          <w:bCs/>
        </w:rPr>
        <w:t xml:space="preserve">teenuseid. Ka Eestis on valmimas plaanid põgenikele osutatavate abi ja teenuste osas, mida kehtiv õigusruum ei võimalda või mille jaoks on vaja lisaeelarvega eraldada täiendavad summad. Nende hulgas on hulk põgenike majutamisega seonduvat, täiendavad sotsiaal- ja tervishoiuteenused, erinevate asutuste täiendavad tegevus- ja palgakulud, haridus- ja koolituskulud ja muud. Samuti on võimalik, et põgenikke saabub siia rohkem kui 30 000. Sotsiaalministeerium ja teised asutused on hinnanud, et kokku võivad 50 000 põgenikuga seotud täiendavad kulud osutuda suuremaks kui </w:t>
      </w:r>
      <w:r w:rsidR="0023610E" w:rsidRPr="00D86528">
        <w:rPr>
          <w:bCs/>
        </w:rPr>
        <w:t xml:space="preserve">200 </w:t>
      </w:r>
      <w:r w:rsidRPr="00D86528">
        <w:rPr>
          <w:bCs/>
        </w:rPr>
        <w:t>miljonit. Määramatus on kõigi nende hinnangute</w:t>
      </w:r>
      <w:r w:rsidR="00B37FC4">
        <w:rPr>
          <w:bCs/>
        </w:rPr>
        <w:t xml:space="preserve"> puhul</w:t>
      </w:r>
      <w:r w:rsidRPr="00D86528">
        <w:rPr>
          <w:bCs/>
        </w:rPr>
        <w:t xml:space="preserve"> siiski suur. Pole võimalik ette näha, kui palju põgenikke saabub, mis on nende </w:t>
      </w:r>
      <w:r w:rsidRPr="00D86528">
        <w:rPr>
          <w:bCs/>
        </w:rPr>
        <w:t>sotsiaaldemograafiline taust ning kui hästi nad siin integreeruvad.</w:t>
      </w:r>
    </w:p>
    <w:p w14:paraId="489A7286" w14:textId="714C2F13" w:rsidR="00D540F8" w:rsidRPr="00D86528" w:rsidRDefault="00D540F8" w:rsidP="00D86528">
      <w:pPr>
        <w:pStyle w:val="Phitekst"/>
        <w:rPr>
          <w:bCs/>
        </w:rPr>
      </w:pPr>
      <w:r w:rsidRPr="00D86528">
        <w:rPr>
          <w:b/>
        </w:rPr>
        <w:t>Sõjapõgenike saabumine pole riigi jaoks ainult kulu, vaid nad panustavad ka meie majanduse arengusse.</w:t>
      </w:r>
      <w:r w:rsidRPr="00D86528">
        <w:rPr>
          <w:bCs/>
        </w:rPr>
        <w:t xml:space="preserve"> Makromajandusprognoosi põhi</w:t>
      </w:r>
      <w:r w:rsidR="00F418A6" w:rsidRPr="00D86528">
        <w:rPr>
          <w:bCs/>
        </w:rPr>
        <w:softHyphen/>
      </w:r>
      <w:r w:rsidRPr="00D86528">
        <w:rPr>
          <w:bCs/>
        </w:rPr>
        <w:t xml:space="preserve">stsenaariumis ei ole </w:t>
      </w:r>
      <w:r w:rsidR="00BA3260">
        <w:rPr>
          <w:bCs/>
        </w:rPr>
        <w:t>selle</w:t>
      </w:r>
      <w:r w:rsidRPr="00D86528">
        <w:rPr>
          <w:bCs/>
        </w:rPr>
        <w:t xml:space="preserve"> mõjuga arvestatud. Sõjapõgenikega kaasneva majanduslik</w:t>
      </w:r>
      <w:r w:rsidR="00BA3260">
        <w:rPr>
          <w:bCs/>
        </w:rPr>
        <w:t>u</w:t>
      </w:r>
      <w:r w:rsidRPr="00D86528">
        <w:rPr>
          <w:bCs/>
        </w:rPr>
        <w:t xml:space="preserve"> mõju tervikpildi hindamise teeb raskemaks asjaolu, et me ei tea põgenike kohta liiga palju infot ning samuti on mõju oluliselt sõltuv sõja arengust. Esialgsete hinnangute kohaselt võib enamik tööealistest põgenikest asuda tööd otsima, kuid üldise halveneva majandusseisu ning administratiivsete tõkete tõttu kaasneb sellega registreeritud töötuse kasv. On võimalik, et majandus on paindlikum ning tegelikkuses suudavad põgenikud täita oluliselt rohkem vabu töökohti ning tekitada neid ka ise juurde.</w:t>
      </w:r>
    </w:p>
    <w:p w14:paraId="68286554" w14:textId="37EAF68E" w:rsidR="00D540F8" w:rsidRPr="00D86528" w:rsidRDefault="00D540F8" w:rsidP="00D86528">
      <w:pPr>
        <w:pStyle w:val="Phitekst"/>
        <w:rPr>
          <w:bCs/>
        </w:rPr>
      </w:pPr>
      <w:r w:rsidRPr="00D86528">
        <w:rPr>
          <w:b/>
        </w:rPr>
        <w:t>Ukraina sõjapõgenikud mõjutavad oluliselt Eesti tööturgu.</w:t>
      </w:r>
      <w:r w:rsidRPr="00D86528">
        <w:rPr>
          <w:bCs/>
        </w:rPr>
        <w:t xml:space="preserve"> Eestisse saabunud sõjapõgenikest on ligikaudu 50% tööealised, 10% pensioniealised ning 40% lapsed. Kuna põgenikele laienevad Eesti elanikega sarnased sotsiaalsed garantiid, siis võib eeldada, et põgenikud hakkavad aktiivselt tööd otsima, kui muud sotsiaalsed garantiid (pension, vanemahüvitis</w:t>
      </w:r>
      <w:r w:rsidR="001D2E25">
        <w:rPr>
          <w:bCs/>
        </w:rPr>
        <w:t>, toimetulekutoetus jms</w:t>
      </w:r>
      <w:r w:rsidRPr="00D86528">
        <w:rPr>
          <w:bCs/>
        </w:rPr>
        <w:t>) ei taga neile piisavat sissetulekut. Võib arvata, et enamikul tööealistest põgenikest on motivatsioon registreerida ennast töötuna Töötukassas, mis tagab neile sissetuleku (valdavalt töötutoetuse) ning tervisekindlustuse. See tähendab, et lähematel kuudel võib Eesti tööturule siseneda suurusjärgus 12 kuni 15 tuhat inimest, mis suurendab tööjõu pakkumist Eestis 1,5% võrra.</w:t>
      </w:r>
    </w:p>
    <w:p w14:paraId="70C441DF" w14:textId="4CB2F565" w:rsidR="00D540F8" w:rsidRPr="00D86528" w:rsidRDefault="00D540F8" w:rsidP="00D86528">
      <w:pPr>
        <w:pStyle w:val="Phitekst"/>
        <w:rPr>
          <w:bCs/>
        </w:rPr>
      </w:pPr>
      <w:r w:rsidRPr="00D86528">
        <w:rPr>
          <w:b/>
        </w:rPr>
        <w:t>Sõjapõgenike töö leidmise võimalused suurenevad aasta jooksul.</w:t>
      </w:r>
      <w:r w:rsidRPr="00D86528">
        <w:rPr>
          <w:bCs/>
        </w:rPr>
        <w:t xml:space="preserve"> </w:t>
      </w:r>
      <w:r w:rsidR="00C22486">
        <w:rPr>
          <w:bCs/>
        </w:rPr>
        <w:t>Käesoleva a</w:t>
      </w:r>
      <w:r w:rsidRPr="00D86528">
        <w:rPr>
          <w:bCs/>
        </w:rPr>
        <w:t>asta alguse seisuga on Eestis täitmata töökohti 6 kuni 11 tuhat. Sõjapõgenike oskuste ja kvalifikatsiooni kohta ei ole häid andmeid, kuid on selge, et suurem osa (üle 90%) neist on naised ning sageli on neil ka lapsed, mis mõjutavad nende tegelikku võimalust tööle asuda. Samuti ei pruugi nende oskused olla heas vastavuses pakutud ametikohtadele</w:t>
      </w:r>
      <w:r w:rsidR="00C22486">
        <w:rPr>
          <w:bCs/>
        </w:rPr>
        <w:t>.</w:t>
      </w:r>
      <w:r w:rsidRPr="00D86528">
        <w:rPr>
          <w:bCs/>
        </w:rPr>
        <w:t xml:space="preserve"> Probleemiks võivad osutuda nii keeleoskus kui ka erinevatele ametikohtadele esitatavad kutsenõuded. Seetõttu </w:t>
      </w:r>
      <w:r w:rsidRPr="00D86528">
        <w:rPr>
          <w:bCs/>
        </w:rPr>
        <w:lastRenderedPageBreak/>
        <w:t>võib arvata, et põgenikega kaasneb märkimisväärne registreeritud töötuse kasv. Hinnanguliselt võib tööpuudus käesoleval aastal suureneda ühe protsendipunkti võrra ning järgmisel aastal poole protsendipunkti võrra, seda võrreldes prognoosi põhistsenaariumiga.</w:t>
      </w:r>
    </w:p>
    <w:p w14:paraId="004B5418" w14:textId="4EE92A79" w:rsidR="004C69FA" w:rsidRDefault="004C69FA" w:rsidP="004C69FA">
      <w:pPr>
        <w:pStyle w:val="Pealdis"/>
      </w:pPr>
      <w:bookmarkStart w:id="154" w:name="_Toc100230283"/>
      <w:r>
        <w:t xml:space="preserve">Joonis </w:t>
      </w:r>
      <w:fldSimple w:instr=" SEQ Joonis \* ARABIC ">
        <w:r w:rsidR="000C04EE">
          <w:rPr>
            <w:noProof/>
          </w:rPr>
          <w:t>14</w:t>
        </w:r>
      </w:fldSimple>
      <w:r>
        <w:t>. Sõjapõgenike mõju tööturule (%)</w:t>
      </w:r>
      <w:bookmarkEnd w:id="154"/>
    </w:p>
    <w:p w14:paraId="609052E7" w14:textId="0D78D3B3" w:rsidR="004C69FA" w:rsidRDefault="004C69FA" w:rsidP="00D540F8">
      <w:pPr>
        <w:jc w:val="both"/>
      </w:pPr>
      <w:r>
        <w:rPr>
          <w:noProof/>
          <w:lang w:eastAsia="et-EE"/>
        </w:rPr>
        <w:drawing>
          <wp:inline distT="0" distB="0" distL="0" distR="0" wp14:anchorId="6F5E2509" wp14:editId="09BFAE27">
            <wp:extent cx="2790265" cy="2061882"/>
            <wp:effectExtent l="0" t="0" r="0" b="0"/>
            <wp:docPr id="14" name="Diagramm 14">
              <a:extLst xmlns:a="http://schemas.openxmlformats.org/drawingml/2006/main">
                <a:ext uri="{FF2B5EF4-FFF2-40B4-BE49-F238E27FC236}">
                  <a16:creationId xmlns:a16="http://schemas.microsoft.com/office/drawing/2014/main" id="{B6278830-B11D-49FC-B5C4-C63D75306C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D8F56BC" w14:textId="3ACB0229" w:rsidR="0056277B" w:rsidRPr="00D86528" w:rsidRDefault="00D540F8" w:rsidP="00D86528">
      <w:pPr>
        <w:pStyle w:val="Phitekst"/>
        <w:rPr>
          <w:bCs/>
        </w:rPr>
      </w:pPr>
      <w:r w:rsidRPr="00D86528">
        <w:rPr>
          <w:b/>
        </w:rPr>
        <w:t>Sõjapõgenikes võib peituda varjatud potentsiaal.</w:t>
      </w:r>
      <w:r w:rsidRPr="00D86528">
        <w:rPr>
          <w:bCs/>
        </w:rPr>
        <w:t xml:space="preserve"> Tõenäoliselt meil ei ole täna teadmist kõigist töökohtadest, mis võivad sõjapõgenikele abil täidetud saada ning võime nende positiivset panust Eesti majandusse alahinnata. Esiteks tekitab põgenike siia saabumine töökohti juurde, kuna neile on vaja pakkuda lisaks elukohale ka kõiki muid riiklikke teenuseid (sh arstiabi, haridus, lastehoid jne) ning kus põgenikud saaksid tegelikult ise rakendust leida. Siin võivad, vähemalt lühiajaliselt, takistuseks saada kutsestandardid ja </w:t>
      </w:r>
      <w:r w:rsidRPr="00D86528">
        <w:rPr>
          <w:bCs/>
        </w:rPr>
        <w:noBreakHyphen/>
        <w:t xml:space="preserve">nõuded, mida äsja saabunud ei pruugi kohe täita, vaid vajavad üleminekuaega ja täiendõpet. Teiseks, kuigi üle poole neist on kõrgharidusega (esialgsed Töötukassa andmed ca </w:t>
      </w:r>
      <w:r w:rsidR="001D2E25">
        <w:rPr>
          <w:bCs/>
        </w:rPr>
        <w:t>2400</w:t>
      </w:r>
      <w:r w:rsidRPr="00D86528">
        <w:rPr>
          <w:bCs/>
        </w:rPr>
        <w:t xml:space="preserve"> põgeniku kohta), ei pruugi puuduva eesti keele ja kehva inglise keele oskuse tõttu neil olla võimalik leida senisele oskustele ja haridusele vastavat töökohta. Samas räägivad pea kõik vene keelt, mis kombinatsioonis madalamate palganõudmistega võib kokkuvõttes anda arengutõuke madalamapalgalistes tegevusalades, mis on oma tegevust tööjõupuuduse tõttu vähendanud ning kus ettevõtted olid</w:t>
      </w:r>
      <w:r w:rsidR="001D2E25">
        <w:rPr>
          <w:bCs/>
        </w:rPr>
        <w:t xml:space="preserve"> aastate jooksul</w:t>
      </w:r>
      <w:r w:rsidRPr="00D86528">
        <w:rPr>
          <w:bCs/>
        </w:rPr>
        <w:t xml:space="preserve"> loobunud töötajate otsimisest. Esmajärjekorras suudavad põgenikud täita lihtsamaid töökohti põllumajanduses, tööstuses, kaubanduses ning turisminduses.</w:t>
      </w:r>
      <w:bookmarkEnd w:id="142"/>
      <w:r w:rsidR="0056277B" w:rsidRPr="00D86528">
        <w:rPr>
          <w:bCs/>
        </w:rPr>
        <w:br w:type="page"/>
      </w:r>
    </w:p>
    <w:p w14:paraId="0EFF5AEB" w14:textId="77777777" w:rsidR="00F404E5" w:rsidRPr="005822EA" w:rsidRDefault="00F404E5" w:rsidP="00E66452">
      <w:pPr>
        <w:jc w:val="both"/>
        <w:sectPr w:rsidR="00F404E5" w:rsidRPr="005822EA" w:rsidSect="0093189D">
          <w:endnotePr>
            <w:numFmt w:val="decimal"/>
          </w:endnotePr>
          <w:type w:val="continuous"/>
          <w:pgSz w:w="11906" w:h="16838"/>
          <w:pgMar w:top="964" w:right="964" w:bottom="964" w:left="964" w:header="709" w:footer="709" w:gutter="0"/>
          <w:cols w:num="2" w:space="708"/>
          <w:docGrid w:linePitch="360"/>
        </w:sectPr>
      </w:pPr>
    </w:p>
    <w:p w14:paraId="0A49A21F" w14:textId="621339E8" w:rsidR="0056277B" w:rsidRPr="005822EA" w:rsidRDefault="0056277B" w:rsidP="00E66452">
      <w:pPr>
        <w:pStyle w:val="Numbritapealkiri"/>
        <w:jc w:val="both"/>
      </w:pPr>
      <w:bookmarkStart w:id="155" w:name="_Toc62631872"/>
      <w:bookmarkStart w:id="156" w:name="_Toc64504594"/>
      <w:bookmarkStart w:id="157" w:name="_Toc100230268"/>
      <w:r w:rsidRPr="005822EA">
        <w:lastRenderedPageBreak/>
        <w:t xml:space="preserve">LISA </w:t>
      </w:r>
      <w:r w:rsidR="00090B3C" w:rsidRPr="005822EA">
        <w:rPr>
          <w:noProof/>
        </w:rPr>
        <w:fldChar w:fldCharType="begin"/>
      </w:r>
      <w:r w:rsidR="00090B3C" w:rsidRPr="005822EA">
        <w:rPr>
          <w:noProof/>
        </w:rPr>
        <w:instrText xml:space="preserve"> SEQ Lisa \* ARABIC </w:instrText>
      </w:r>
      <w:r w:rsidR="00090B3C" w:rsidRPr="005822EA">
        <w:rPr>
          <w:noProof/>
        </w:rPr>
        <w:fldChar w:fldCharType="separate"/>
      </w:r>
      <w:r w:rsidR="00F418A6">
        <w:rPr>
          <w:noProof/>
        </w:rPr>
        <w:t>4</w:t>
      </w:r>
      <w:r w:rsidR="00090B3C" w:rsidRPr="005822EA">
        <w:rPr>
          <w:noProof/>
        </w:rPr>
        <w:fldChar w:fldCharType="end"/>
      </w:r>
      <w:r w:rsidRPr="005822EA">
        <w:t>. TÄIENDAVAD TABELID</w:t>
      </w:r>
      <w:bookmarkEnd w:id="155"/>
      <w:bookmarkEnd w:id="156"/>
      <w:bookmarkEnd w:id="157"/>
    </w:p>
    <w:p w14:paraId="6918B30A" w14:textId="77777777" w:rsidR="00831AD9" w:rsidRPr="00E54FF2" w:rsidRDefault="00831AD9" w:rsidP="00E54FF2">
      <w:pPr>
        <w:pStyle w:val="Pealdis"/>
      </w:pPr>
      <w:bookmarkStart w:id="158" w:name="_Ref511389089"/>
      <w:bookmarkStart w:id="159" w:name="_Toc511374597"/>
      <w:bookmarkStart w:id="160" w:name="_Toc4502665"/>
      <w:bookmarkStart w:id="161" w:name="_Ref511388689"/>
      <w:bookmarkStart w:id="162" w:name="_Ref505759308"/>
      <w:bookmarkStart w:id="163" w:name="_Toc100230290"/>
      <w:bookmarkEnd w:id="143"/>
      <w:bookmarkEnd w:id="144"/>
      <w:r w:rsidRPr="00E54FF2">
        <w:t xml:space="preserve">Tabel </w:t>
      </w:r>
      <w:fldSimple w:instr=" SEQ Tabel \* ARABIC ">
        <w:r w:rsidR="000C04EE">
          <w:rPr>
            <w:noProof/>
          </w:rPr>
          <w:t>5</w:t>
        </w:r>
      </w:fldSimple>
      <w:bookmarkEnd w:id="158"/>
      <w:r w:rsidRPr="00E54FF2">
        <w:t>. Sisemajanduse koguprodukti prognoos 202</w:t>
      </w:r>
      <w:r w:rsidR="00F418A6">
        <w:t>2</w:t>
      </w:r>
      <w:r w:rsidRPr="00E54FF2">
        <w:t>-</w:t>
      </w:r>
      <w:bookmarkEnd w:id="159"/>
      <w:bookmarkEnd w:id="160"/>
      <w:r w:rsidRPr="00E54FF2">
        <w:t>202</w:t>
      </w:r>
      <w:r w:rsidR="00F418A6">
        <w:t>6</w:t>
      </w:r>
      <w:bookmarkEnd w:id="163"/>
    </w:p>
    <w:tbl>
      <w:tblPr>
        <w:tblStyle w:val="Peentabel1"/>
        <w:tblW w:w="10043" w:type="dxa"/>
        <w:jc w:val="center"/>
        <w:tblLook w:val="04A0" w:firstRow="1" w:lastRow="0" w:firstColumn="1" w:lastColumn="0" w:noHBand="0" w:noVBand="1"/>
      </w:tblPr>
      <w:tblGrid>
        <w:gridCol w:w="2338"/>
        <w:gridCol w:w="1064"/>
        <w:gridCol w:w="948"/>
        <w:gridCol w:w="949"/>
        <w:gridCol w:w="949"/>
        <w:gridCol w:w="948"/>
        <w:gridCol w:w="949"/>
        <w:gridCol w:w="949"/>
        <w:gridCol w:w="949"/>
      </w:tblGrid>
      <w:tr w:rsidR="00290512" w:rsidRPr="005822EA" w14:paraId="53C187B1" w14:textId="77777777" w:rsidTr="00F23DB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38" w:type="dxa"/>
            <w:hideMark/>
          </w:tcPr>
          <w:p w14:paraId="73996F61" w14:textId="77777777" w:rsidR="00290512" w:rsidRPr="005822EA" w:rsidRDefault="00290512" w:rsidP="00290512">
            <w:pPr>
              <w:pStyle w:val="Tabelid"/>
            </w:pPr>
            <w:r w:rsidRPr="005822EA">
              <w:t>%</w:t>
            </w:r>
          </w:p>
        </w:tc>
        <w:tc>
          <w:tcPr>
            <w:tcW w:w="1064" w:type="dxa"/>
          </w:tcPr>
          <w:p w14:paraId="6052D9E4" w14:textId="0C54F06C" w:rsidR="00290512" w:rsidRPr="005822EA" w:rsidRDefault="00290512" w:rsidP="005D54E4">
            <w:pPr>
              <w:pStyle w:val="Tabelid"/>
              <w:jc w:val="right"/>
              <w:cnfStyle w:val="100000000000" w:firstRow="1" w:lastRow="0" w:firstColumn="0" w:lastColumn="0" w:oddVBand="0" w:evenVBand="0" w:oddHBand="0" w:evenHBand="0" w:firstRowFirstColumn="0" w:firstRowLastColumn="0" w:lastRowFirstColumn="0" w:lastRowLastColumn="0"/>
            </w:pPr>
            <w:r w:rsidRPr="005822EA">
              <w:t>2011-1</w:t>
            </w:r>
            <w:r>
              <w:t>9</w:t>
            </w:r>
          </w:p>
        </w:tc>
        <w:tc>
          <w:tcPr>
            <w:tcW w:w="948" w:type="dxa"/>
          </w:tcPr>
          <w:p w14:paraId="657DF131" w14:textId="7C2CD82A" w:rsidR="00290512" w:rsidRPr="005822EA" w:rsidRDefault="00290512" w:rsidP="005D54E4">
            <w:pPr>
              <w:pStyle w:val="Tabelid"/>
              <w:jc w:val="right"/>
              <w:cnfStyle w:val="100000000000" w:firstRow="1" w:lastRow="0" w:firstColumn="0" w:lastColumn="0" w:oddVBand="0" w:evenVBand="0" w:oddHBand="0" w:evenHBand="0" w:firstRowFirstColumn="0" w:firstRowLastColumn="0" w:lastRowFirstColumn="0" w:lastRowLastColumn="0"/>
            </w:pPr>
            <w:r w:rsidRPr="005822EA">
              <w:t>2020</w:t>
            </w:r>
          </w:p>
        </w:tc>
        <w:tc>
          <w:tcPr>
            <w:tcW w:w="949" w:type="dxa"/>
            <w:hideMark/>
          </w:tcPr>
          <w:p w14:paraId="2B9ADE30" w14:textId="126326DC" w:rsidR="00290512" w:rsidRPr="005822EA" w:rsidRDefault="00290512" w:rsidP="005D54E4">
            <w:pPr>
              <w:pStyle w:val="Tabelid"/>
              <w:jc w:val="right"/>
              <w:cnfStyle w:val="100000000000" w:firstRow="1" w:lastRow="0" w:firstColumn="0" w:lastColumn="0" w:oddVBand="0" w:evenVBand="0" w:oddHBand="0" w:evenHBand="0" w:firstRowFirstColumn="0" w:firstRowLastColumn="0" w:lastRowFirstColumn="0" w:lastRowLastColumn="0"/>
            </w:pPr>
            <w:r w:rsidRPr="005822EA">
              <w:t>2021</w:t>
            </w:r>
          </w:p>
        </w:tc>
        <w:tc>
          <w:tcPr>
            <w:tcW w:w="949" w:type="dxa"/>
            <w:hideMark/>
          </w:tcPr>
          <w:p w14:paraId="6F4A94CD" w14:textId="3FBCA710" w:rsidR="00290512" w:rsidRPr="005822EA" w:rsidRDefault="00290512" w:rsidP="005D54E4">
            <w:pPr>
              <w:pStyle w:val="Tabelid"/>
              <w:jc w:val="right"/>
              <w:cnfStyle w:val="100000000000" w:firstRow="1" w:lastRow="0" w:firstColumn="0" w:lastColumn="0" w:oddVBand="0" w:evenVBand="0" w:oddHBand="0" w:evenHBand="0" w:firstRowFirstColumn="0" w:firstRowLastColumn="0" w:lastRowFirstColumn="0" w:lastRowLastColumn="0"/>
            </w:pPr>
            <w:r w:rsidRPr="005822EA">
              <w:t>2022</w:t>
            </w:r>
          </w:p>
        </w:tc>
        <w:tc>
          <w:tcPr>
            <w:tcW w:w="948" w:type="dxa"/>
            <w:hideMark/>
          </w:tcPr>
          <w:p w14:paraId="1B3B739C" w14:textId="1D4053A5" w:rsidR="00290512" w:rsidRPr="005822EA" w:rsidRDefault="00290512" w:rsidP="005D54E4">
            <w:pPr>
              <w:pStyle w:val="Tabelid"/>
              <w:jc w:val="right"/>
              <w:cnfStyle w:val="100000000000" w:firstRow="1" w:lastRow="0" w:firstColumn="0" w:lastColumn="0" w:oddVBand="0" w:evenVBand="0" w:oddHBand="0" w:evenHBand="0" w:firstRowFirstColumn="0" w:firstRowLastColumn="0" w:lastRowFirstColumn="0" w:lastRowLastColumn="0"/>
            </w:pPr>
            <w:r w:rsidRPr="005822EA">
              <w:t>2023</w:t>
            </w:r>
          </w:p>
        </w:tc>
        <w:tc>
          <w:tcPr>
            <w:tcW w:w="949" w:type="dxa"/>
            <w:hideMark/>
          </w:tcPr>
          <w:p w14:paraId="52CEFA51" w14:textId="693E0C6F" w:rsidR="00290512" w:rsidRPr="005822EA" w:rsidRDefault="00290512" w:rsidP="005D54E4">
            <w:pPr>
              <w:pStyle w:val="Tabelid"/>
              <w:jc w:val="right"/>
              <w:cnfStyle w:val="100000000000" w:firstRow="1" w:lastRow="0" w:firstColumn="0" w:lastColumn="0" w:oddVBand="0" w:evenVBand="0" w:oddHBand="0" w:evenHBand="0" w:firstRowFirstColumn="0" w:firstRowLastColumn="0" w:lastRowFirstColumn="0" w:lastRowLastColumn="0"/>
            </w:pPr>
            <w:r w:rsidRPr="005822EA">
              <w:t>2024</w:t>
            </w:r>
          </w:p>
        </w:tc>
        <w:tc>
          <w:tcPr>
            <w:tcW w:w="949" w:type="dxa"/>
            <w:hideMark/>
          </w:tcPr>
          <w:p w14:paraId="6965DCAD" w14:textId="3F399614" w:rsidR="00290512" w:rsidRPr="005822EA" w:rsidRDefault="00290512" w:rsidP="005D54E4">
            <w:pPr>
              <w:pStyle w:val="Tabelid"/>
              <w:jc w:val="right"/>
              <w:cnfStyle w:val="100000000000" w:firstRow="1" w:lastRow="0" w:firstColumn="0" w:lastColumn="0" w:oddVBand="0" w:evenVBand="0" w:oddHBand="0" w:evenHBand="0" w:firstRowFirstColumn="0" w:firstRowLastColumn="0" w:lastRowFirstColumn="0" w:lastRowLastColumn="0"/>
            </w:pPr>
            <w:r w:rsidRPr="005822EA">
              <w:t>2025</w:t>
            </w:r>
          </w:p>
        </w:tc>
        <w:tc>
          <w:tcPr>
            <w:tcW w:w="949" w:type="dxa"/>
            <w:hideMark/>
          </w:tcPr>
          <w:p w14:paraId="03CFBE3B" w14:textId="5ABB86F7" w:rsidR="00290512" w:rsidRPr="005822EA" w:rsidRDefault="00290512" w:rsidP="005D54E4">
            <w:pPr>
              <w:pStyle w:val="Tabelid"/>
              <w:jc w:val="right"/>
              <w:cnfStyle w:val="100000000000" w:firstRow="1" w:lastRow="0" w:firstColumn="0" w:lastColumn="0" w:oddVBand="0" w:evenVBand="0" w:oddHBand="0" w:evenHBand="0" w:firstRowFirstColumn="0" w:firstRowLastColumn="0" w:lastRowFirstColumn="0" w:lastRowLastColumn="0"/>
            </w:pPr>
            <w:r w:rsidRPr="005822EA">
              <w:t>202</w:t>
            </w:r>
            <w:r>
              <w:t>6</w:t>
            </w:r>
          </w:p>
        </w:tc>
      </w:tr>
      <w:tr w:rsidR="00290512" w:rsidRPr="005822EA" w14:paraId="2C202BF2" w14:textId="77777777" w:rsidTr="00F23DB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38" w:type="dxa"/>
            <w:hideMark/>
          </w:tcPr>
          <w:p w14:paraId="427F7C39" w14:textId="77777777" w:rsidR="00290512" w:rsidRPr="005822EA" w:rsidRDefault="00290512" w:rsidP="00290512">
            <w:pPr>
              <w:pStyle w:val="Tabelid"/>
            </w:pPr>
            <w:r w:rsidRPr="005822EA">
              <w:t>1. SKP reaalkasv</w:t>
            </w:r>
          </w:p>
        </w:tc>
        <w:tc>
          <w:tcPr>
            <w:tcW w:w="1064" w:type="dxa"/>
            <w:vAlign w:val="bottom"/>
          </w:tcPr>
          <w:p w14:paraId="2FCD7844" w14:textId="22E26DE9" w:rsidR="00290512" w:rsidRPr="005822EA" w:rsidRDefault="00290512" w:rsidP="005D54E4">
            <w:pPr>
              <w:pStyle w:val="Tabelid"/>
              <w:jc w:val="right"/>
              <w:cnfStyle w:val="000000100000" w:firstRow="0" w:lastRow="0" w:firstColumn="0" w:lastColumn="0" w:oddVBand="0" w:evenVBand="0" w:oddHBand="1" w:evenHBand="0" w:firstRowFirstColumn="0" w:firstRowLastColumn="0" w:lastRowFirstColumn="0" w:lastRowLastColumn="0"/>
            </w:pPr>
            <w:r w:rsidRPr="00290512">
              <w:t>3,7</w:t>
            </w:r>
          </w:p>
        </w:tc>
        <w:tc>
          <w:tcPr>
            <w:tcW w:w="948" w:type="dxa"/>
            <w:vAlign w:val="bottom"/>
          </w:tcPr>
          <w:p w14:paraId="788B8F35" w14:textId="71260E7F" w:rsidR="00290512" w:rsidRPr="005822EA" w:rsidRDefault="00290512" w:rsidP="005D54E4">
            <w:pPr>
              <w:pStyle w:val="Tabelid"/>
              <w:jc w:val="right"/>
              <w:cnfStyle w:val="000000100000" w:firstRow="0" w:lastRow="0" w:firstColumn="0" w:lastColumn="0" w:oddVBand="0" w:evenVBand="0" w:oddHBand="1" w:evenHBand="0" w:firstRowFirstColumn="0" w:firstRowLastColumn="0" w:lastRowFirstColumn="0" w:lastRowLastColumn="0"/>
            </w:pPr>
            <w:r w:rsidRPr="00290512">
              <w:t>-3,0</w:t>
            </w:r>
          </w:p>
        </w:tc>
        <w:tc>
          <w:tcPr>
            <w:tcW w:w="949" w:type="dxa"/>
            <w:vAlign w:val="bottom"/>
            <w:hideMark/>
          </w:tcPr>
          <w:p w14:paraId="1D01E189" w14:textId="15945ED7" w:rsidR="00290512" w:rsidRPr="005822EA" w:rsidRDefault="00290512" w:rsidP="005D54E4">
            <w:pPr>
              <w:pStyle w:val="Tabelid"/>
              <w:jc w:val="right"/>
              <w:cnfStyle w:val="000000100000" w:firstRow="0" w:lastRow="0" w:firstColumn="0" w:lastColumn="0" w:oddVBand="0" w:evenVBand="0" w:oddHBand="1" w:evenHBand="0" w:firstRowFirstColumn="0" w:firstRowLastColumn="0" w:lastRowFirstColumn="0" w:lastRowLastColumn="0"/>
            </w:pPr>
            <w:r w:rsidRPr="00290512">
              <w:t>8,3</w:t>
            </w:r>
          </w:p>
        </w:tc>
        <w:tc>
          <w:tcPr>
            <w:tcW w:w="949" w:type="dxa"/>
            <w:vAlign w:val="bottom"/>
            <w:hideMark/>
          </w:tcPr>
          <w:p w14:paraId="6C361338" w14:textId="4608C6F6" w:rsidR="00290512" w:rsidRPr="005822EA" w:rsidRDefault="00290512" w:rsidP="005D54E4">
            <w:pPr>
              <w:pStyle w:val="Tabelid"/>
              <w:jc w:val="right"/>
              <w:cnfStyle w:val="000000100000" w:firstRow="0" w:lastRow="0" w:firstColumn="0" w:lastColumn="0" w:oddVBand="0" w:evenVBand="0" w:oddHBand="1" w:evenHBand="0" w:firstRowFirstColumn="0" w:firstRowLastColumn="0" w:lastRowFirstColumn="0" w:lastRowLastColumn="0"/>
            </w:pPr>
            <w:r w:rsidRPr="00290512">
              <w:t>-1,0</w:t>
            </w:r>
          </w:p>
        </w:tc>
        <w:tc>
          <w:tcPr>
            <w:tcW w:w="948" w:type="dxa"/>
            <w:vAlign w:val="bottom"/>
            <w:hideMark/>
          </w:tcPr>
          <w:p w14:paraId="718C2C00" w14:textId="0BED101F" w:rsidR="00290512" w:rsidRPr="005822EA" w:rsidRDefault="00290512" w:rsidP="005D54E4">
            <w:pPr>
              <w:pStyle w:val="Tabelid"/>
              <w:jc w:val="right"/>
              <w:cnfStyle w:val="000000100000" w:firstRow="0" w:lastRow="0" w:firstColumn="0" w:lastColumn="0" w:oddVBand="0" w:evenVBand="0" w:oddHBand="1" w:evenHBand="0" w:firstRowFirstColumn="0" w:firstRowLastColumn="0" w:lastRowFirstColumn="0" w:lastRowLastColumn="0"/>
            </w:pPr>
            <w:r w:rsidRPr="00290512">
              <w:t>1,2</w:t>
            </w:r>
          </w:p>
        </w:tc>
        <w:tc>
          <w:tcPr>
            <w:tcW w:w="949" w:type="dxa"/>
            <w:vAlign w:val="bottom"/>
            <w:hideMark/>
          </w:tcPr>
          <w:p w14:paraId="2980E221" w14:textId="57CD916E" w:rsidR="00290512" w:rsidRPr="005822EA" w:rsidRDefault="00290512" w:rsidP="005D54E4">
            <w:pPr>
              <w:pStyle w:val="Tabelid"/>
              <w:jc w:val="right"/>
              <w:cnfStyle w:val="000000100000" w:firstRow="0" w:lastRow="0" w:firstColumn="0" w:lastColumn="0" w:oddVBand="0" w:evenVBand="0" w:oddHBand="1" w:evenHBand="0" w:firstRowFirstColumn="0" w:firstRowLastColumn="0" w:lastRowFirstColumn="0" w:lastRowLastColumn="0"/>
            </w:pPr>
            <w:r w:rsidRPr="00290512">
              <w:t>3,2</w:t>
            </w:r>
          </w:p>
        </w:tc>
        <w:tc>
          <w:tcPr>
            <w:tcW w:w="949" w:type="dxa"/>
            <w:vAlign w:val="bottom"/>
            <w:hideMark/>
          </w:tcPr>
          <w:p w14:paraId="506FD5A4" w14:textId="3699D978" w:rsidR="00290512" w:rsidRPr="005822EA" w:rsidRDefault="00290512" w:rsidP="005D54E4">
            <w:pPr>
              <w:pStyle w:val="Tabelid"/>
              <w:jc w:val="right"/>
              <w:cnfStyle w:val="000000100000" w:firstRow="0" w:lastRow="0" w:firstColumn="0" w:lastColumn="0" w:oddVBand="0" w:evenVBand="0" w:oddHBand="1" w:evenHBand="0" w:firstRowFirstColumn="0" w:firstRowLastColumn="0" w:lastRowFirstColumn="0" w:lastRowLastColumn="0"/>
            </w:pPr>
            <w:r w:rsidRPr="00290512">
              <w:t>2,7</w:t>
            </w:r>
          </w:p>
        </w:tc>
        <w:tc>
          <w:tcPr>
            <w:tcW w:w="949" w:type="dxa"/>
            <w:vAlign w:val="bottom"/>
            <w:hideMark/>
          </w:tcPr>
          <w:p w14:paraId="6D63E39F" w14:textId="6148D484" w:rsidR="00290512" w:rsidRPr="005822EA" w:rsidRDefault="00290512" w:rsidP="005D54E4">
            <w:pPr>
              <w:pStyle w:val="Tabelid"/>
              <w:jc w:val="right"/>
              <w:cnfStyle w:val="000000100000" w:firstRow="0" w:lastRow="0" w:firstColumn="0" w:lastColumn="0" w:oddVBand="0" w:evenVBand="0" w:oddHBand="1" w:evenHBand="0" w:firstRowFirstColumn="0" w:firstRowLastColumn="0" w:lastRowFirstColumn="0" w:lastRowLastColumn="0"/>
            </w:pPr>
            <w:r w:rsidRPr="00290512">
              <w:t>2,6</w:t>
            </w:r>
          </w:p>
        </w:tc>
      </w:tr>
      <w:tr w:rsidR="00290512" w:rsidRPr="005822EA" w14:paraId="76253272" w14:textId="77777777" w:rsidTr="00F23DB2">
        <w:trPr>
          <w:trHeight w:val="480"/>
          <w:jc w:val="center"/>
        </w:trPr>
        <w:tc>
          <w:tcPr>
            <w:cnfStyle w:val="001000000000" w:firstRow="0" w:lastRow="0" w:firstColumn="1" w:lastColumn="0" w:oddVBand="0" w:evenVBand="0" w:oddHBand="0" w:evenHBand="0" w:firstRowFirstColumn="0" w:firstRowLastColumn="0" w:lastRowFirstColumn="0" w:lastRowLastColumn="0"/>
            <w:tcW w:w="2338" w:type="dxa"/>
            <w:hideMark/>
          </w:tcPr>
          <w:p w14:paraId="6942AD04" w14:textId="77777777" w:rsidR="00290512" w:rsidRPr="005822EA" w:rsidRDefault="00290512" w:rsidP="00290512">
            <w:pPr>
              <w:pStyle w:val="Tabelid"/>
            </w:pPr>
            <w:r w:rsidRPr="005822EA">
              <w:t>1a. SKP püsivhindades (mld eurot)</w:t>
            </w:r>
          </w:p>
        </w:tc>
        <w:tc>
          <w:tcPr>
            <w:tcW w:w="1064" w:type="dxa"/>
            <w:vAlign w:val="center"/>
          </w:tcPr>
          <w:p w14:paraId="3DF464F2" w14:textId="77777777" w:rsidR="00290512" w:rsidRPr="005822EA" w:rsidRDefault="00290512" w:rsidP="005D54E4">
            <w:pPr>
              <w:pStyle w:val="Tabelid"/>
              <w:jc w:val="right"/>
              <w:cnfStyle w:val="000000000000" w:firstRow="0" w:lastRow="0" w:firstColumn="0" w:lastColumn="0" w:oddVBand="0" w:evenVBand="0" w:oddHBand="0" w:evenHBand="0" w:firstRowFirstColumn="0" w:firstRowLastColumn="0" w:lastRowFirstColumn="0" w:lastRowLastColumn="0"/>
            </w:pPr>
          </w:p>
        </w:tc>
        <w:tc>
          <w:tcPr>
            <w:tcW w:w="948" w:type="dxa"/>
            <w:vAlign w:val="center"/>
          </w:tcPr>
          <w:p w14:paraId="63D1605E" w14:textId="2D1B10B1" w:rsidR="00290512" w:rsidRPr="00290512" w:rsidRDefault="00290512" w:rsidP="005D54E4">
            <w:pPr>
              <w:pStyle w:val="Tabelid"/>
              <w:jc w:val="right"/>
              <w:cnfStyle w:val="000000000000" w:firstRow="0" w:lastRow="0" w:firstColumn="0" w:lastColumn="0" w:oddVBand="0" w:evenVBand="0" w:oddHBand="0" w:evenHBand="0" w:firstRowFirstColumn="0" w:firstRowLastColumn="0" w:lastRowFirstColumn="0" w:lastRowLastColumn="0"/>
            </w:pPr>
            <w:r w:rsidRPr="00290512">
              <w:t>23,7</w:t>
            </w:r>
          </w:p>
        </w:tc>
        <w:tc>
          <w:tcPr>
            <w:tcW w:w="949" w:type="dxa"/>
            <w:vAlign w:val="center"/>
            <w:hideMark/>
          </w:tcPr>
          <w:p w14:paraId="726AE8C9" w14:textId="24CC90F8" w:rsidR="00290512" w:rsidRPr="005822EA" w:rsidRDefault="00290512" w:rsidP="005D54E4">
            <w:pPr>
              <w:pStyle w:val="Tabelid"/>
              <w:jc w:val="right"/>
              <w:cnfStyle w:val="000000000000" w:firstRow="0" w:lastRow="0" w:firstColumn="0" w:lastColumn="0" w:oddVBand="0" w:evenVBand="0" w:oddHBand="0" w:evenHBand="0" w:firstRowFirstColumn="0" w:firstRowLastColumn="0" w:lastRowFirstColumn="0" w:lastRowLastColumn="0"/>
            </w:pPr>
            <w:r w:rsidRPr="00290512">
              <w:t>25,7</w:t>
            </w:r>
          </w:p>
        </w:tc>
        <w:tc>
          <w:tcPr>
            <w:tcW w:w="949" w:type="dxa"/>
            <w:vAlign w:val="center"/>
            <w:hideMark/>
          </w:tcPr>
          <w:p w14:paraId="0A7163C7" w14:textId="40B5A34A" w:rsidR="00290512" w:rsidRPr="005822EA" w:rsidRDefault="00290512" w:rsidP="005D54E4">
            <w:pPr>
              <w:pStyle w:val="Tabelid"/>
              <w:jc w:val="right"/>
              <w:cnfStyle w:val="000000000000" w:firstRow="0" w:lastRow="0" w:firstColumn="0" w:lastColumn="0" w:oddVBand="0" w:evenVBand="0" w:oddHBand="0" w:evenHBand="0" w:firstRowFirstColumn="0" w:firstRowLastColumn="0" w:lastRowFirstColumn="0" w:lastRowLastColumn="0"/>
            </w:pPr>
            <w:r w:rsidRPr="00290512">
              <w:t>25,4</w:t>
            </w:r>
          </w:p>
        </w:tc>
        <w:tc>
          <w:tcPr>
            <w:tcW w:w="948" w:type="dxa"/>
            <w:vAlign w:val="center"/>
            <w:hideMark/>
          </w:tcPr>
          <w:p w14:paraId="3B0D8D67" w14:textId="03694D29" w:rsidR="00290512" w:rsidRPr="005822EA" w:rsidRDefault="00290512" w:rsidP="005D54E4">
            <w:pPr>
              <w:pStyle w:val="Tabelid"/>
              <w:jc w:val="right"/>
              <w:cnfStyle w:val="000000000000" w:firstRow="0" w:lastRow="0" w:firstColumn="0" w:lastColumn="0" w:oddVBand="0" w:evenVBand="0" w:oddHBand="0" w:evenHBand="0" w:firstRowFirstColumn="0" w:firstRowLastColumn="0" w:lastRowFirstColumn="0" w:lastRowLastColumn="0"/>
            </w:pPr>
            <w:r w:rsidRPr="00290512">
              <w:t>25,7</w:t>
            </w:r>
          </w:p>
        </w:tc>
        <w:tc>
          <w:tcPr>
            <w:tcW w:w="949" w:type="dxa"/>
            <w:vAlign w:val="center"/>
            <w:hideMark/>
          </w:tcPr>
          <w:p w14:paraId="11F68688" w14:textId="1D6725B8" w:rsidR="00290512" w:rsidRPr="005822EA" w:rsidRDefault="00290512" w:rsidP="005D54E4">
            <w:pPr>
              <w:pStyle w:val="Tabelid"/>
              <w:jc w:val="right"/>
              <w:cnfStyle w:val="000000000000" w:firstRow="0" w:lastRow="0" w:firstColumn="0" w:lastColumn="0" w:oddVBand="0" w:evenVBand="0" w:oddHBand="0" w:evenHBand="0" w:firstRowFirstColumn="0" w:firstRowLastColumn="0" w:lastRowFirstColumn="0" w:lastRowLastColumn="0"/>
            </w:pPr>
            <w:r w:rsidRPr="00290512">
              <w:t>26,5</w:t>
            </w:r>
          </w:p>
        </w:tc>
        <w:tc>
          <w:tcPr>
            <w:tcW w:w="949" w:type="dxa"/>
            <w:vAlign w:val="center"/>
            <w:hideMark/>
          </w:tcPr>
          <w:p w14:paraId="3993C847" w14:textId="4B518C1D" w:rsidR="00290512" w:rsidRPr="005822EA" w:rsidRDefault="00290512" w:rsidP="005D54E4">
            <w:pPr>
              <w:pStyle w:val="Tabelid"/>
              <w:jc w:val="right"/>
              <w:cnfStyle w:val="000000000000" w:firstRow="0" w:lastRow="0" w:firstColumn="0" w:lastColumn="0" w:oddVBand="0" w:evenVBand="0" w:oddHBand="0" w:evenHBand="0" w:firstRowFirstColumn="0" w:firstRowLastColumn="0" w:lastRowFirstColumn="0" w:lastRowLastColumn="0"/>
            </w:pPr>
            <w:r w:rsidRPr="00290512">
              <w:t>27,3</w:t>
            </w:r>
          </w:p>
        </w:tc>
        <w:tc>
          <w:tcPr>
            <w:tcW w:w="949" w:type="dxa"/>
            <w:vAlign w:val="center"/>
            <w:hideMark/>
          </w:tcPr>
          <w:p w14:paraId="75772076" w14:textId="4B6DF06C" w:rsidR="00290512" w:rsidRPr="005822EA" w:rsidRDefault="00290512" w:rsidP="005D54E4">
            <w:pPr>
              <w:pStyle w:val="Tabelid"/>
              <w:jc w:val="right"/>
              <w:cnfStyle w:val="000000000000" w:firstRow="0" w:lastRow="0" w:firstColumn="0" w:lastColumn="0" w:oddVBand="0" w:evenVBand="0" w:oddHBand="0" w:evenHBand="0" w:firstRowFirstColumn="0" w:firstRowLastColumn="0" w:lastRowFirstColumn="0" w:lastRowLastColumn="0"/>
            </w:pPr>
            <w:r w:rsidRPr="00290512">
              <w:t>28,0</w:t>
            </w:r>
          </w:p>
        </w:tc>
      </w:tr>
      <w:tr w:rsidR="00290512" w:rsidRPr="005822EA" w14:paraId="4D950159" w14:textId="77777777" w:rsidTr="00F23DB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38" w:type="dxa"/>
            <w:hideMark/>
          </w:tcPr>
          <w:p w14:paraId="0C0D28B1" w14:textId="77777777" w:rsidR="00290512" w:rsidRPr="005822EA" w:rsidRDefault="00290512" w:rsidP="00290512">
            <w:pPr>
              <w:pStyle w:val="Tabelid"/>
            </w:pPr>
            <w:r w:rsidRPr="005822EA">
              <w:t>2. SKP nominaalkasv</w:t>
            </w:r>
          </w:p>
        </w:tc>
        <w:tc>
          <w:tcPr>
            <w:tcW w:w="1064" w:type="dxa"/>
            <w:vAlign w:val="center"/>
          </w:tcPr>
          <w:p w14:paraId="6FDEC9B7" w14:textId="26E9D516" w:rsidR="00290512" w:rsidRPr="005822EA" w:rsidRDefault="0029051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7,2</w:t>
            </w:r>
          </w:p>
        </w:tc>
        <w:tc>
          <w:tcPr>
            <w:tcW w:w="948" w:type="dxa"/>
            <w:vAlign w:val="center"/>
          </w:tcPr>
          <w:p w14:paraId="50ED7341" w14:textId="6BAD013C" w:rsidR="00290512" w:rsidRPr="00F23DB2" w:rsidRDefault="0029051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-3,2</w:t>
            </w:r>
          </w:p>
        </w:tc>
        <w:tc>
          <w:tcPr>
            <w:tcW w:w="949" w:type="dxa"/>
            <w:vAlign w:val="center"/>
            <w:hideMark/>
          </w:tcPr>
          <w:p w14:paraId="406B7588" w14:textId="3950E0BF" w:rsidR="00290512" w:rsidRPr="005822EA" w:rsidRDefault="0029051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14,3</w:t>
            </w:r>
          </w:p>
        </w:tc>
        <w:tc>
          <w:tcPr>
            <w:tcW w:w="949" w:type="dxa"/>
            <w:vAlign w:val="center"/>
            <w:hideMark/>
          </w:tcPr>
          <w:p w14:paraId="7588B1FA" w14:textId="77F66C7D" w:rsidR="00290512" w:rsidRPr="005822EA" w:rsidRDefault="0029051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6,7</w:t>
            </w:r>
          </w:p>
        </w:tc>
        <w:tc>
          <w:tcPr>
            <w:tcW w:w="948" w:type="dxa"/>
            <w:vAlign w:val="center"/>
            <w:hideMark/>
          </w:tcPr>
          <w:p w14:paraId="1820C047" w14:textId="5B98EB51" w:rsidR="00290512" w:rsidRPr="005822EA" w:rsidRDefault="0029051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3,7</w:t>
            </w:r>
          </w:p>
        </w:tc>
        <w:tc>
          <w:tcPr>
            <w:tcW w:w="949" w:type="dxa"/>
            <w:vAlign w:val="center"/>
            <w:hideMark/>
          </w:tcPr>
          <w:p w14:paraId="3B7D3265" w14:textId="526D1EA7" w:rsidR="00290512" w:rsidRPr="005822EA" w:rsidRDefault="0029051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5,0</w:t>
            </w:r>
          </w:p>
        </w:tc>
        <w:tc>
          <w:tcPr>
            <w:tcW w:w="949" w:type="dxa"/>
            <w:vAlign w:val="center"/>
            <w:hideMark/>
          </w:tcPr>
          <w:p w14:paraId="4D0314EC" w14:textId="41F7C3C0" w:rsidR="00290512" w:rsidRPr="005822EA" w:rsidRDefault="0029051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4,8</w:t>
            </w:r>
          </w:p>
        </w:tc>
        <w:tc>
          <w:tcPr>
            <w:tcW w:w="949" w:type="dxa"/>
            <w:vAlign w:val="center"/>
            <w:hideMark/>
          </w:tcPr>
          <w:p w14:paraId="0A467F79" w14:textId="58F9C06F" w:rsidR="00290512" w:rsidRPr="005822EA" w:rsidRDefault="0029051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5,0</w:t>
            </w:r>
          </w:p>
        </w:tc>
      </w:tr>
      <w:tr w:rsidR="00290512" w:rsidRPr="005822EA" w14:paraId="2A54ED19" w14:textId="77777777" w:rsidTr="00F23DB2">
        <w:trPr>
          <w:trHeight w:val="480"/>
          <w:jc w:val="center"/>
        </w:trPr>
        <w:tc>
          <w:tcPr>
            <w:cnfStyle w:val="001000000000" w:firstRow="0" w:lastRow="0" w:firstColumn="1" w:lastColumn="0" w:oddVBand="0" w:evenVBand="0" w:oddHBand="0" w:evenHBand="0" w:firstRowFirstColumn="0" w:firstRowLastColumn="0" w:lastRowFirstColumn="0" w:lastRowLastColumn="0"/>
            <w:tcW w:w="2338" w:type="dxa"/>
            <w:hideMark/>
          </w:tcPr>
          <w:p w14:paraId="68619C9B" w14:textId="77777777" w:rsidR="00290512" w:rsidRPr="005822EA" w:rsidRDefault="00290512" w:rsidP="00290512">
            <w:pPr>
              <w:pStyle w:val="Tabelid"/>
            </w:pPr>
            <w:r w:rsidRPr="005822EA">
              <w:t>2a. SKP jooksevhindades (mld eurot)</w:t>
            </w:r>
          </w:p>
        </w:tc>
        <w:tc>
          <w:tcPr>
            <w:tcW w:w="1064" w:type="dxa"/>
            <w:vAlign w:val="center"/>
          </w:tcPr>
          <w:p w14:paraId="03C1C805" w14:textId="77777777" w:rsidR="00290512" w:rsidRPr="005822EA" w:rsidRDefault="00290512" w:rsidP="005D54E4">
            <w:pPr>
              <w:pStyle w:val="Tabelid"/>
              <w:jc w:val="right"/>
              <w:cnfStyle w:val="000000000000" w:firstRow="0" w:lastRow="0" w:firstColumn="0" w:lastColumn="0" w:oddVBand="0" w:evenVBand="0" w:oddHBand="0" w:evenHBand="0" w:firstRowFirstColumn="0" w:firstRowLastColumn="0" w:lastRowFirstColumn="0" w:lastRowLastColumn="0"/>
            </w:pPr>
          </w:p>
        </w:tc>
        <w:tc>
          <w:tcPr>
            <w:tcW w:w="948" w:type="dxa"/>
            <w:vAlign w:val="center"/>
          </w:tcPr>
          <w:p w14:paraId="3C2315E6" w14:textId="0746BE03" w:rsidR="00290512" w:rsidRPr="00F23DB2" w:rsidRDefault="0029051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26,8</w:t>
            </w:r>
          </w:p>
        </w:tc>
        <w:tc>
          <w:tcPr>
            <w:tcW w:w="949" w:type="dxa"/>
            <w:vAlign w:val="center"/>
            <w:hideMark/>
          </w:tcPr>
          <w:p w14:paraId="290BE73B" w14:textId="16333EC8" w:rsidR="00290512" w:rsidRPr="005822EA" w:rsidRDefault="0029051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30,7</w:t>
            </w:r>
          </w:p>
        </w:tc>
        <w:tc>
          <w:tcPr>
            <w:tcW w:w="949" w:type="dxa"/>
            <w:vAlign w:val="center"/>
            <w:hideMark/>
          </w:tcPr>
          <w:p w14:paraId="48B291A2" w14:textId="54559170" w:rsidR="00290512" w:rsidRPr="005822EA" w:rsidRDefault="0029051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32,7</w:t>
            </w:r>
          </w:p>
        </w:tc>
        <w:tc>
          <w:tcPr>
            <w:tcW w:w="948" w:type="dxa"/>
            <w:vAlign w:val="center"/>
            <w:hideMark/>
          </w:tcPr>
          <w:p w14:paraId="0589CD78" w14:textId="6C410A51" w:rsidR="00290512" w:rsidRPr="005822EA" w:rsidRDefault="0029051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33,9</w:t>
            </w:r>
          </w:p>
        </w:tc>
        <w:tc>
          <w:tcPr>
            <w:tcW w:w="949" w:type="dxa"/>
            <w:vAlign w:val="center"/>
            <w:hideMark/>
          </w:tcPr>
          <w:p w14:paraId="129C315D" w14:textId="26C090B0" w:rsidR="00290512" w:rsidRPr="005822EA" w:rsidRDefault="0029051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35,6</w:t>
            </w:r>
          </w:p>
        </w:tc>
        <w:tc>
          <w:tcPr>
            <w:tcW w:w="949" w:type="dxa"/>
            <w:vAlign w:val="center"/>
            <w:hideMark/>
          </w:tcPr>
          <w:p w14:paraId="0D1E7C2E" w14:textId="4E98B48C" w:rsidR="00290512" w:rsidRPr="005822EA" w:rsidRDefault="0029051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37,3</w:t>
            </w:r>
          </w:p>
        </w:tc>
        <w:tc>
          <w:tcPr>
            <w:tcW w:w="949" w:type="dxa"/>
            <w:vAlign w:val="center"/>
            <w:hideMark/>
          </w:tcPr>
          <w:p w14:paraId="658E9772" w14:textId="3BC9D028" w:rsidR="00290512" w:rsidRPr="005822EA" w:rsidRDefault="0029051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39,2</w:t>
            </w:r>
          </w:p>
        </w:tc>
      </w:tr>
      <w:tr w:rsidR="00290512" w:rsidRPr="005822EA" w14:paraId="77429E59" w14:textId="77777777" w:rsidTr="00F23DB2">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2338" w:type="dxa"/>
            <w:hideMark/>
          </w:tcPr>
          <w:p w14:paraId="17189527" w14:textId="77777777" w:rsidR="00290512" w:rsidRPr="005822EA" w:rsidRDefault="00290512" w:rsidP="00290512">
            <w:pPr>
              <w:pStyle w:val="Tabelid"/>
            </w:pPr>
            <w:r w:rsidRPr="005822EA">
              <w:t>2b. RKP jooksevhindades (mld eurot)</w:t>
            </w:r>
          </w:p>
        </w:tc>
        <w:tc>
          <w:tcPr>
            <w:tcW w:w="1064" w:type="dxa"/>
            <w:vAlign w:val="center"/>
          </w:tcPr>
          <w:p w14:paraId="251EAE12" w14:textId="77777777" w:rsidR="00290512" w:rsidRPr="005822EA" w:rsidRDefault="00290512" w:rsidP="005D54E4">
            <w:pPr>
              <w:pStyle w:val="Tabelid"/>
              <w:jc w:val="right"/>
              <w:cnfStyle w:val="000000100000" w:firstRow="0" w:lastRow="0" w:firstColumn="0" w:lastColumn="0" w:oddVBand="0" w:evenVBand="0" w:oddHBand="1" w:evenHBand="0" w:firstRowFirstColumn="0" w:firstRowLastColumn="0" w:lastRowFirstColumn="0" w:lastRowLastColumn="0"/>
            </w:pPr>
          </w:p>
        </w:tc>
        <w:tc>
          <w:tcPr>
            <w:tcW w:w="948" w:type="dxa"/>
            <w:vAlign w:val="center"/>
          </w:tcPr>
          <w:p w14:paraId="2508A528" w14:textId="1436613E" w:rsidR="00290512" w:rsidRPr="00F23DB2" w:rsidRDefault="0029051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26,6</w:t>
            </w:r>
          </w:p>
        </w:tc>
        <w:tc>
          <w:tcPr>
            <w:tcW w:w="949" w:type="dxa"/>
            <w:vAlign w:val="center"/>
            <w:hideMark/>
          </w:tcPr>
          <w:p w14:paraId="57B4C759" w14:textId="52C905D3" w:rsidR="00290512" w:rsidRPr="005822EA" w:rsidRDefault="0029051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30,</w:t>
            </w:r>
            <w:r w:rsidR="004C5163">
              <w:t>1</w:t>
            </w:r>
          </w:p>
        </w:tc>
        <w:tc>
          <w:tcPr>
            <w:tcW w:w="949" w:type="dxa"/>
            <w:vAlign w:val="center"/>
            <w:hideMark/>
          </w:tcPr>
          <w:p w14:paraId="4D5076AD" w14:textId="09B2F472" w:rsidR="00290512" w:rsidRPr="005822EA" w:rsidRDefault="0029051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32,2</w:t>
            </w:r>
          </w:p>
        </w:tc>
        <w:tc>
          <w:tcPr>
            <w:tcW w:w="948" w:type="dxa"/>
            <w:vAlign w:val="center"/>
            <w:hideMark/>
          </w:tcPr>
          <w:p w14:paraId="22E5A06B" w14:textId="2B8693C6" w:rsidR="00290512" w:rsidRPr="005822EA" w:rsidRDefault="0029051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33,3</w:t>
            </w:r>
          </w:p>
        </w:tc>
        <w:tc>
          <w:tcPr>
            <w:tcW w:w="949" w:type="dxa"/>
            <w:vAlign w:val="center"/>
            <w:hideMark/>
          </w:tcPr>
          <w:p w14:paraId="5E47ECFB" w14:textId="7A8E75A3" w:rsidR="00290512" w:rsidRPr="005822EA" w:rsidRDefault="0029051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34,9</w:t>
            </w:r>
          </w:p>
        </w:tc>
        <w:tc>
          <w:tcPr>
            <w:tcW w:w="949" w:type="dxa"/>
            <w:vAlign w:val="center"/>
            <w:hideMark/>
          </w:tcPr>
          <w:p w14:paraId="085B374C" w14:textId="349A6D96" w:rsidR="00290512" w:rsidRPr="005822EA" w:rsidRDefault="0029051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36,5</w:t>
            </w:r>
          </w:p>
        </w:tc>
        <w:tc>
          <w:tcPr>
            <w:tcW w:w="949" w:type="dxa"/>
            <w:vAlign w:val="center"/>
            <w:hideMark/>
          </w:tcPr>
          <w:p w14:paraId="2E65177B" w14:textId="5975B829" w:rsidR="00290512" w:rsidRPr="005822EA" w:rsidRDefault="0029051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38,2</w:t>
            </w:r>
          </w:p>
        </w:tc>
      </w:tr>
      <w:tr w:rsidR="0016466E" w:rsidRPr="005822EA" w14:paraId="7149570A" w14:textId="77777777" w:rsidTr="00F23DB2">
        <w:trPr>
          <w:trHeight w:val="300"/>
          <w:jc w:val="center"/>
        </w:trPr>
        <w:tc>
          <w:tcPr>
            <w:cnfStyle w:val="001000000000" w:firstRow="0" w:lastRow="0" w:firstColumn="1" w:lastColumn="0" w:oddVBand="0" w:evenVBand="0" w:oddHBand="0" w:evenHBand="0" w:firstRowFirstColumn="0" w:firstRowLastColumn="0" w:lastRowFirstColumn="0" w:lastRowLastColumn="0"/>
            <w:tcW w:w="2338" w:type="dxa"/>
            <w:hideMark/>
          </w:tcPr>
          <w:p w14:paraId="51C1C646" w14:textId="77777777" w:rsidR="0016466E" w:rsidRPr="005822EA" w:rsidRDefault="0016466E" w:rsidP="0016466E">
            <w:pPr>
              <w:pStyle w:val="Tabelid"/>
            </w:pPr>
            <w:r w:rsidRPr="005822EA">
              <w:t>Kasvuallikad</w:t>
            </w:r>
          </w:p>
        </w:tc>
        <w:tc>
          <w:tcPr>
            <w:tcW w:w="1064" w:type="dxa"/>
            <w:vAlign w:val="center"/>
          </w:tcPr>
          <w:p w14:paraId="11E054B5" w14:textId="77777777" w:rsidR="0016466E" w:rsidRPr="005822EA" w:rsidRDefault="0016466E" w:rsidP="005D54E4">
            <w:pPr>
              <w:pStyle w:val="Tabelid"/>
              <w:jc w:val="right"/>
              <w:cnfStyle w:val="000000000000" w:firstRow="0" w:lastRow="0" w:firstColumn="0" w:lastColumn="0" w:oddVBand="0" w:evenVBand="0" w:oddHBand="0" w:evenHBand="0" w:firstRowFirstColumn="0" w:firstRowLastColumn="0" w:lastRowFirstColumn="0" w:lastRowLastColumn="0"/>
            </w:pPr>
          </w:p>
        </w:tc>
        <w:tc>
          <w:tcPr>
            <w:tcW w:w="948" w:type="dxa"/>
            <w:vAlign w:val="center"/>
          </w:tcPr>
          <w:p w14:paraId="661E5F18" w14:textId="77777777" w:rsidR="0016466E" w:rsidRPr="00F23DB2" w:rsidRDefault="0016466E" w:rsidP="005D54E4">
            <w:pPr>
              <w:pStyle w:val="Tabelid"/>
              <w:jc w:val="right"/>
              <w:cnfStyle w:val="000000000000" w:firstRow="0" w:lastRow="0" w:firstColumn="0" w:lastColumn="0" w:oddVBand="0" w:evenVBand="0" w:oddHBand="0" w:evenHBand="0" w:firstRowFirstColumn="0" w:firstRowLastColumn="0" w:lastRowFirstColumn="0" w:lastRowLastColumn="0"/>
            </w:pPr>
          </w:p>
        </w:tc>
        <w:tc>
          <w:tcPr>
            <w:tcW w:w="949" w:type="dxa"/>
            <w:vAlign w:val="center"/>
            <w:hideMark/>
          </w:tcPr>
          <w:p w14:paraId="36331687" w14:textId="77777777" w:rsidR="0016466E" w:rsidRPr="005822EA" w:rsidRDefault="0016466E" w:rsidP="005D54E4">
            <w:pPr>
              <w:pStyle w:val="Tabelid"/>
              <w:jc w:val="right"/>
              <w:cnfStyle w:val="000000000000" w:firstRow="0" w:lastRow="0" w:firstColumn="0" w:lastColumn="0" w:oddVBand="0" w:evenVBand="0" w:oddHBand="0" w:evenHBand="0" w:firstRowFirstColumn="0" w:firstRowLastColumn="0" w:lastRowFirstColumn="0" w:lastRowLastColumn="0"/>
            </w:pPr>
          </w:p>
        </w:tc>
        <w:tc>
          <w:tcPr>
            <w:tcW w:w="949" w:type="dxa"/>
            <w:vAlign w:val="center"/>
            <w:hideMark/>
          </w:tcPr>
          <w:p w14:paraId="60F407B7" w14:textId="77777777" w:rsidR="0016466E" w:rsidRPr="005822EA" w:rsidRDefault="0016466E" w:rsidP="005D54E4">
            <w:pPr>
              <w:pStyle w:val="Tabelid"/>
              <w:jc w:val="right"/>
              <w:cnfStyle w:val="000000000000" w:firstRow="0" w:lastRow="0" w:firstColumn="0" w:lastColumn="0" w:oddVBand="0" w:evenVBand="0" w:oddHBand="0" w:evenHBand="0" w:firstRowFirstColumn="0" w:firstRowLastColumn="0" w:lastRowFirstColumn="0" w:lastRowLastColumn="0"/>
            </w:pPr>
          </w:p>
        </w:tc>
        <w:tc>
          <w:tcPr>
            <w:tcW w:w="948" w:type="dxa"/>
            <w:vAlign w:val="center"/>
            <w:hideMark/>
          </w:tcPr>
          <w:p w14:paraId="0CD8ED0C" w14:textId="77777777" w:rsidR="0016466E" w:rsidRPr="005822EA" w:rsidRDefault="0016466E" w:rsidP="005D54E4">
            <w:pPr>
              <w:pStyle w:val="Tabelid"/>
              <w:jc w:val="right"/>
              <w:cnfStyle w:val="000000000000" w:firstRow="0" w:lastRow="0" w:firstColumn="0" w:lastColumn="0" w:oddVBand="0" w:evenVBand="0" w:oddHBand="0" w:evenHBand="0" w:firstRowFirstColumn="0" w:firstRowLastColumn="0" w:lastRowFirstColumn="0" w:lastRowLastColumn="0"/>
            </w:pPr>
          </w:p>
        </w:tc>
        <w:tc>
          <w:tcPr>
            <w:tcW w:w="949" w:type="dxa"/>
            <w:vAlign w:val="center"/>
            <w:hideMark/>
          </w:tcPr>
          <w:p w14:paraId="790A989B" w14:textId="77777777" w:rsidR="0016466E" w:rsidRPr="005822EA" w:rsidRDefault="0016466E" w:rsidP="005D54E4">
            <w:pPr>
              <w:pStyle w:val="Tabelid"/>
              <w:jc w:val="right"/>
              <w:cnfStyle w:val="000000000000" w:firstRow="0" w:lastRow="0" w:firstColumn="0" w:lastColumn="0" w:oddVBand="0" w:evenVBand="0" w:oddHBand="0" w:evenHBand="0" w:firstRowFirstColumn="0" w:firstRowLastColumn="0" w:lastRowFirstColumn="0" w:lastRowLastColumn="0"/>
            </w:pPr>
          </w:p>
        </w:tc>
        <w:tc>
          <w:tcPr>
            <w:tcW w:w="949" w:type="dxa"/>
            <w:vAlign w:val="center"/>
            <w:hideMark/>
          </w:tcPr>
          <w:p w14:paraId="268D7BCE" w14:textId="77777777" w:rsidR="0016466E" w:rsidRPr="005822EA" w:rsidRDefault="0016466E" w:rsidP="005D54E4">
            <w:pPr>
              <w:pStyle w:val="Tabelid"/>
              <w:jc w:val="right"/>
              <w:cnfStyle w:val="000000000000" w:firstRow="0" w:lastRow="0" w:firstColumn="0" w:lastColumn="0" w:oddVBand="0" w:evenVBand="0" w:oddHBand="0" w:evenHBand="0" w:firstRowFirstColumn="0" w:firstRowLastColumn="0" w:lastRowFirstColumn="0" w:lastRowLastColumn="0"/>
            </w:pPr>
          </w:p>
        </w:tc>
        <w:tc>
          <w:tcPr>
            <w:tcW w:w="949" w:type="dxa"/>
            <w:vAlign w:val="center"/>
            <w:hideMark/>
          </w:tcPr>
          <w:p w14:paraId="1CD34D4D" w14:textId="77777777" w:rsidR="0016466E" w:rsidRPr="005822EA" w:rsidRDefault="0016466E" w:rsidP="005D54E4">
            <w:pPr>
              <w:pStyle w:val="Tabelid"/>
              <w:jc w:val="right"/>
              <w:cnfStyle w:val="000000000000" w:firstRow="0" w:lastRow="0" w:firstColumn="0" w:lastColumn="0" w:oddVBand="0" w:evenVBand="0" w:oddHBand="0" w:evenHBand="0" w:firstRowFirstColumn="0" w:firstRowLastColumn="0" w:lastRowFirstColumn="0" w:lastRowLastColumn="0"/>
            </w:pPr>
          </w:p>
        </w:tc>
      </w:tr>
      <w:tr w:rsidR="00F23DB2" w:rsidRPr="005822EA" w14:paraId="103EEC7A" w14:textId="77777777" w:rsidTr="00F23DB2">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2338" w:type="dxa"/>
            <w:hideMark/>
          </w:tcPr>
          <w:p w14:paraId="259D1332" w14:textId="77777777" w:rsidR="00F23DB2" w:rsidRPr="005822EA" w:rsidRDefault="00F23DB2" w:rsidP="00F23DB2">
            <w:pPr>
              <w:pStyle w:val="Tabelid"/>
            </w:pPr>
            <w:r w:rsidRPr="005822EA">
              <w:t>3. Eratarbimiskulutused (sh MTÜd)</w:t>
            </w:r>
          </w:p>
        </w:tc>
        <w:tc>
          <w:tcPr>
            <w:tcW w:w="1064" w:type="dxa"/>
            <w:vAlign w:val="center"/>
          </w:tcPr>
          <w:p w14:paraId="15F622AF" w14:textId="4DB9668D" w:rsidR="00F23DB2" w:rsidRPr="005822EA"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3,8</w:t>
            </w:r>
          </w:p>
        </w:tc>
        <w:tc>
          <w:tcPr>
            <w:tcW w:w="948" w:type="dxa"/>
            <w:vAlign w:val="center"/>
          </w:tcPr>
          <w:p w14:paraId="1E9D4BEC" w14:textId="0320D5A2" w:rsidR="00F23DB2" w:rsidRPr="00F23DB2"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-2,7</w:t>
            </w:r>
          </w:p>
        </w:tc>
        <w:tc>
          <w:tcPr>
            <w:tcW w:w="949" w:type="dxa"/>
            <w:vAlign w:val="center"/>
            <w:hideMark/>
          </w:tcPr>
          <w:p w14:paraId="137666FE" w14:textId="135E83AA" w:rsidR="00F23DB2" w:rsidRPr="005822EA"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6,5</w:t>
            </w:r>
          </w:p>
        </w:tc>
        <w:tc>
          <w:tcPr>
            <w:tcW w:w="949" w:type="dxa"/>
            <w:vAlign w:val="center"/>
            <w:hideMark/>
          </w:tcPr>
          <w:p w14:paraId="4059D1F9" w14:textId="5DAA6B27" w:rsidR="00F23DB2" w:rsidRPr="005822EA"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-4,6</w:t>
            </w:r>
          </w:p>
        </w:tc>
        <w:tc>
          <w:tcPr>
            <w:tcW w:w="948" w:type="dxa"/>
            <w:vAlign w:val="center"/>
            <w:hideMark/>
          </w:tcPr>
          <w:p w14:paraId="50D92408" w14:textId="6C9FD6E4" w:rsidR="00F23DB2" w:rsidRPr="005822EA"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0,1</w:t>
            </w:r>
          </w:p>
        </w:tc>
        <w:tc>
          <w:tcPr>
            <w:tcW w:w="949" w:type="dxa"/>
            <w:vAlign w:val="center"/>
            <w:hideMark/>
          </w:tcPr>
          <w:p w14:paraId="35483A4C" w14:textId="6C77D309" w:rsidR="00F23DB2" w:rsidRPr="005822EA"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3,2</w:t>
            </w:r>
          </w:p>
        </w:tc>
        <w:tc>
          <w:tcPr>
            <w:tcW w:w="949" w:type="dxa"/>
            <w:vAlign w:val="center"/>
            <w:hideMark/>
          </w:tcPr>
          <w:p w14:paraId="2EF144F6" w14:textId="1BC931EA" w:rsidR="00F23DB2" w:rsidRPr="005822EA"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2,3</w:t>
            </w:r>
          </w:p>
        </w:tc>
        <w:tc>
          <w:tcPr>
            <w:tcW w:w="949" w:type="dxa"/>
            <w:vAlign w:val="center"/>
            <w:hideMark/>
          </w:tcPr>
          <w:p w14:paraId="78EF528D" w14:textId="7DE69A7F" w:rsidR="00F23DB2" w:rsidRPr="005822EA"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2,0</w:t>
            </w:r>
          </w:p>
        </w:tc>
      </w:tr>
      <w:tr w:rsidR="00F23DB2" w:rsidRPr="005822EA" w14:paraId="42EDD379" w14:textId="77777777" w:rsidTr="00F23DB2">
        <w:trPr>
          <w:trHeight w:val="480"/>
          <w:jc w:val="center"/>
        </w:trPr>
        <w:tc>
          <w:tcPr>
            <w:cnfStyle w:val="001000000000" w:firstRow="0" w:lastRow="0" w:firstColumn="1" w:lastColumn="0" w:oddVBand="0" w:evenVBand="0" w:oddHBand="0" w:evenHBand="0" w:firstRowFirstColumn="0" w:firstRowLastColumn="0" w:lastRowFirstColumn="0" w:lastRowLastColumn="0"/>
            <w:tcW w:w="2338" w:type="dxa"/>
            <w:hideMark/>
          </w:tcPr>
          <w:p w14:paraId="5902C488" w14:textId="77777777" w:rsidR="00F23DB2" w:rsidRPr="005822EA" w:rsidRDefault="00F23DB2" w:rsidP="00F23DB2">
            <w:pPr>
              <w:pStyle w:val="Tabelid"/>
            </w:pPr>
            <w:r w:rsidRPr="005822EA">
              <w:t xml:space="preserve">4. Valitsussektori </w:t>
            </w:r>
            <w:proofErr w:type="spellStart"/>
            <w:r w:rsidRPr="005822EA">
              <w:t>lõpp</w:t>
            </w:r>
            <w:r w:rsidRPr="005822EA">
              <w:softHyphen/>
              <w:t>tarbimis</w:t>
            </w:r>
            <w:r w:rsidRPr="005822EA">
              <w:softHyphen/>
              <w:t>kulutused</w:t>
            </w:r>
            <w:proofErr w:type="spellEnd"/>
          </w:p>
        </w:tc>
        <w:tc>
          <w:tcPr>
            <w:tcW w:w="1064" w:type="dxa"/>
            <w:vAlign w:val="center"/>
          </w:tcPr>
          <w:p w14:paraId="5A3A88CB" w14:textId="36EA0A90" w:rsidR="00F23DB2" w:rsidRPr="005822EA"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2,0</w:t>
            </w:r>
          </w:p>
        </w:tc>
        <w:tc>
          <w:tcPr>
            <w:tcW w:w="948" w:type="dxa"/>
            <w:vAlign w:val="center"/>
          </w:tcPr>
          <w:p w14:paraId="129EC976" w14:textId="6E82AB8E" w:rsidR="00F23DB2" w:rsidRPr="00F23DB2"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3,0</w:t>
            </w:r>
          </w:p>
        </w:tc>
        <w:tc>
          <w:tcPr>
            <w:tcW w:w="949" w:type="dxa"/>
            <w:vAlign w:val="center"/>
            <w:hideMark/>
          </w:tcPr>
          <w:p w14:paraId="70A3750D" w14:textId="5D4E1895" w:rsidR="00F23DB2" w:rsidRPr="005822EA"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3,9</w:t>
            </w:r>
          </w:p>
        </w:tc>
        <w:tc>
          <w:tcPr>
            <w:tcW w:w="949" w:type="dxa"/>
            <w:vAlign w:val="center"/>
            <w:hideMark/>
          </w:tcPr>
          <w:p w14:paraId="49CE74F9" w14:textId="02E3BEEF" w:rsidR="00F23DB2" w:rsidRPr="005822EA"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-1,4</w:t>
            </w:r>
          </w:p>
        </w:tc>
        <w:tc>
          <w:tcPr>
            <w:tcW w:w="948" w:type="dxa"/>
            <w:vAlign w:val="center"/>
            <w:hideMark/>
          </w:tcPr>
          <w:p w14:paraId="106A5B09" w14:textId="567DFF24" w:rsidR="00F23DB2" w:rsidRPr="005822EA"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0,0</w:t>
            </w:r>
          </w:p>
        </w:tc>
        <w:tc>
          <w:tcPr>
            <w:tcW w:w="949" w:type="dxa"/>
            <w:vAlign w:val="center"/>
            <w:hideMark/>
          </w:tcPr>
          <w:p w14:paraId="5B33354B" w14:textId="57906AE2" w:rsidR="00F23DB2" w:rsidRPr="005822EA"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0,2</w:t>
            </w:r>
          </w:p>
        </w:tc>
        <w:tc>
          <w:tcPr>
            <w:tcW w:w="949" w:type="dxa"/>
            <w:vAlign w:val="center"/>
            <w:hideMark/>
          </w:tcPr>
          <w:p w14:paraId="569073F5" w14:textId="617107C5" w:rsidR="00F23DB2" w:rsidRPr="005822EA"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0,3</w:t>
            </w:r>
          </w:p>
        </w:tc>
        <w:tc>
          <w:tcPr>
            <w:tcW w:w="949" w:type="dxa"/>
            <w:vAlign w:val="center"/>
            <w:hideMark/>
          </w:tcPr>
          <w:p w14:paraId="7EBD658D" w14:textId="728F91EA" w:rsidR="00F23DB2" w:rsidRPr="005822EA"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0,3</w:t>
            </w:r>
          </w:p>
        </w:tc>
      </w:tr>
      <w:tr w:rsidR="00F23DB2" w:rsidRPr="005822EA" w14:paraId="33547AD9" w14:textId="77777777" w:rsidTr="00F23DB2">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2338" w:type="dxa"/>
            <w:hideMark/>
          </w:tcPr>
          <w:p w14:paraId="38D6AF89" w14:textId="77777777" w:rsidR="00F23DB2" w:rsidRPr="005822EA" w:rsidRDefault="00F23DB2" w:rsidP="00F23DB2">
            <w:pPr>
              <w:pStyle w:val="Tabelid"/>
            </w:pPr>
            <w:r w:rsidRPr="005822EA">
              <w:t>5. Kapitali kogumahutus põhivarasse</w:t>
            </w:r>
          </w:p>
        </w:tc>
        <w:tc>
          <w:tcPr>
            <w:tcW w:w="1064" w:type="dxa"/>
            <w:vAlign w:val="center"/>
          </w:tcPr>
          <w:p w14:paraId="1F18E7CC" w14:textId="3A9B149C" w:rsidR="00F23DB2" w:rsidRPr="005822EA"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7,6</w:t>
            </w:r>
          </w:p>
        </w:tc>
        <w:tc>
          <w:tcPr>
            <w:tcW w:w="948" w:type="dxa"/>
            <w:vAlign w:val="center"/>
          </w:tcPr>
          <w:p w14:paraId="19814C76" w14:textId="460A5226" w:rsidR="00F23DB2" w:rsidRPr="00F23DB2"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19,9</w:t>
            </w:r>
          </w:p>
        </w:tc>
        <w:tc>
          <w:tcPr>
            <w:tcW w:w="949" w:type="dxa"/>
            <w:vAlign w:val="center"/>
            <w:hideMark/>
          </w:tcPr>
          <w:p w14:paraId="105F0C0F" w14:textId="7C9E474F" w:rsidR="00F23DB2" w:rsidRPr="005822EA"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3,3</w:t>
            </w:r>
          </w:p>
        </w:tc>
        <w:tc>
          <w:tcPr>
            <w:tcW w:w="949" w:type="dxa"/>
            <w:vAlign w:val="center"/>
            <w:hideMark/>
          </w:tcPr>
          <w:p w14:paraId="295E4FFA" w14:textId="4C45A849" w:rsidR="00F23DB2" w:rsidRPr="005822EA"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-7,2</w:t>
            </w:r>
          </w:p>
        </w:tc>
        <w:tc>
          <w:tcPr>
            <w:tcW w:w="948" w:type="dxa"/>
            <w:vAlign w:val="center"/>
            <w:hideMark/>
          </w:tcPr>
          <w:p w14:paraId="222EE9F6" w14:textId="23C9F5B5" w:rsidR="00F23DB2" w:rsidRPr="005822EA"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3,9</w:t>
            </w:r>
          </w:p>
        </w:tc>
        <w:tc>
          <w:tcPr>
            <w:tcW w:w="949" w:type="dxa"/>
            <w:vAlign w:val="center"/>
            <w:hideMark/>
          </w:tcPr>
          <w:p w14:paraId="7CD2486C" w14:textId="617F7F86" w:rsidR="00F23DB2" w:rsidRPr="005822EA"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1,0</w:t>
            </w:r>
          </w:p>
        </w:tc>
        <w:tc>
          <w:tcPr>
            <w:tcW w:w="949" w:type="dxa"/>
            <w:vAlign w:val="center"/>
            <w:hideMark/>
          </w:tcPr>
          <w:p w14:paraId="2A315112" w14:textId="4C5C5E0B" w:rsidR="00F23DB2" w:rsidRPr="005822EA"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2,4</w:t>
            </w:r>
          </w:p>
        </w:tc>
        <w:tc>
          <w:tcPr>
            <w:tcW w:w="949" w:type="dxa"/>
            <w:vAlign w:val="center"/>
            <w:hideMark/>
          </w:tcPr>
          <w:p w14:paraId="40FFE081" w14:textId="5E3114AC" w:rsidR="00F23DB2" w:rsidRPr="005822EA"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2,5</w:t>
            </w:r>
          </w:p>
        </w:tc>
      </w:tr>
      <w:tr w:rsidR="00F23DB2" w:rsidRPr="005822EA" w14:paraId="007F8C0B" w14:textId="77777777" w:rsidTr="00F23DB2">
        <w:trPr>
          <w:trHeight w:val="300"/>
          <w:jc w:val="center"/>
        </w:trPr>
        <w:tc>
          <w:tcPr>
            <w:cnfStyle w:val="001000000000" w:firstRow="0" w:lastRow="0" w:firstColumn="1" w:lastColumn="0" w:oddVBand="0" w:evenVBand="0" w:oddHBand="0" w:evenHBand="0" w:firstRowFirstColumn="0" w:firstRowLastColumn="0" w:lastRowFirstColumn="0" w:lastRowLastColumn="0"/>
            <w:tcW w:w="2338" w:type="dxa"/>
            <w:hideMark/>
          </w:tcPr>
          <w:p w14:paraId="4AF9A355" w14:textId="77777777" w:rsidR="00F23DB2" w:rsidRPr="005822EA" w:rsidRDefault="00F23DB2" w:rsidP="00F23DB2">
            <w:pPr>
              <w:pStyle w:val="Tabelid"/>
            </w:pPr>
            <w:r w:rsidRPr="005822EA">
              <w:t>6. Sisenõudlus</w:t>
            </w:r>
          </w:p>
        </w:tc>
        <w:tc>
          <w:tcPr>
            <w:tcW w:w="1064" w:type="dxa"/>
            <w:vAlign w:val="center"/>
          </w:tcPr>
          <w:p w14:paraId="65FBDF2D" w14:textId="3B376601" w:rsidR="00F23DB2" w:rsidRPr="005822EA"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4,4</w:t>
            </w:r>
          </w:p>
        </w:tc>
        <w:tc>
          <w:tcPr>
            <w:tcW w:w="948" w:type="dxa"/>
            <w:vAlign w:val="center"/>
          </w:tcPr>
          <w:p w14:paraId="0AAD9F63" w14:textId="585BF7F0" w:rsidR="00F23DB2" w:rsidRPr="00F23DB2"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3,4</w:t>
            </w:r>
          </w:p>
        </w:tc>
        <w:tc>
          <w:tcPr>
            <w:tcW w:w="949" w:type="dxa"/>
            <w:vAlign w:val="center"/>
            <w:hideMark/>
          </w:tcPr>
          <w:p w14:paraId="41C84ADE" w14:textId="49909804" w:rsidR="00F23DB2" w:rsidRPr="005822EA"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7,6</w:t>
            </w:r>
          </w:p>
        </w:tc>
        <w:tc>
          <w:tcPr>
            <w:tcW w:w="949" w:type="dxa"/>
            <w:vAlign w:val="center"/>
            <w:hideMark/>
          </w:tcPr>
          <w:p w14:paraId="3BECFF70" w14:textId="59BAC32F" w:rsidR="00F23DB2" w:rsidRPr="005822EA"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-4,6</w:t>
            </w:r>
          </w:p>
        </w:tc>
        <w:tc>
          <w:tcPr>
            <w:tcW w:w="948" w:type="dxa"/>
            <w:vAlign w:val="center"/>
            <w:hideMark/>
          </w:tcPr>
          <w:p w14:paraId="0E104EE5" w14:textId="38462CE5" w:rsidR="00F23DB2" w:rsidRPr="005822EA"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1,0</w:t>
            </w:r>
          </w:p>
        </w:tc>
        <w:tc>
          <w:tcPr>
            <w:tcW w:w="949" w:type="dxa"/>
            <w:vAlign w:val="center"/>
            <w:hideMark/>
          </w:tcPr>
          <w:p w14:paraId="22AF6D8D" w14:textId="4D3E2E8B" w:rsidR="00F23DB2" w:rsidRPr="005822EA"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2,0</w:t>
            </w:r>
          </w:p>
        </w:tc>
        <w:tc>
          <w:tcPr>
            <w:tcW w:w="949" w:type="dxa"/>
            <w:vAlign w:val="center"/>
            <w:hideMark/>
          </w:tcPr>
          <w:p w14:paraId="3F0A8334" w14:textId="56B5801E" w:rsidR="00F23DB2" w:rsidRPr="005822EA"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2,3</w:t>
            </w:r>
          </w:p>
        </w:tc>
        <w:tc>
          <w:tcPr>
            <w:tcW w:w="949" w:type="dxa"/>
            <w:vAlign w:val="center"/>
            <w:hideMark/>
          </w:tcPr>
          <w:p w14:paraId="11583896" w14:textId="1B75AF12" w:rsidR="00F23DB2" w:rsidRPr="005822EA"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2,0</w:t>
            </w:r>
          </w:p>
        </w:tc>
      </w:tr>
      <w:tr w:rsidR="00F23DB2" w:rsidRPr="005822EA" w14:paraId="1085FC39" w14:textId="77777777" w:rsidTr="00F23DB2">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2338" w:type="dxa"/>
            <w:hideMark/>
          </w:tcPr>
          <w:p w14:paraId="382C224A" w14:textId="77777777" w:rsidR="00F23DB2" w:rsidRPr="005822EA" w:rsidRDefault="00F23DB2" w:rsidP="00F23DB2">
            <w:pPr>
              <w:pStyle w:val="Tabelid"/>
            </w:pPr>
            <w:r w:rsidRPr="005822EA">
              <w:t>7. Kaupade ja teenuste eksport</w:t>
            </w:r>
          </w:p>
        </w:tc>
        <w:tc>
          <w:tcPr>
            <w:tcW w:w="1064" w:type="dxa"/>
            <w:vAlign w:val="center"/>
          </w:tcPr>
          <w:p w14:paraId="102C55BE" w14:textId="3DA1C643" w:rsidR="00F23DB2" w:rsidRPr="005822EA"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5,9</w:t>
            </w:r>
          </w:p>
        </w:tc>
        <w:tc>
          <w:tcPr>
            <w:tcW w:w="948" w:type="dxa"/>
            <w:vAlign w:val="center"/>
          </w:tcPr>
          <w:p w14:paraId="0FE20556" w14:textId="6294E13B" w:rsidR="00F23DB2" w:rsidRPr="00F23DB2"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-5,0</w:t>
            </w:r>
          </w:p>
        </w:tc>
        <w:tc>
          <w:tcPr>
            <w:tcW w:w="949" w:type="dxa"/>
            <w:vAlign w:val="center"/>
            <w:hideMark/>
          </w:tcPr>
          <w:p w14:paraId="6CF36744" w14:textId="5BD2C9FF" w:rsidR="00F23DB2" w:rsidRPr="005822EA"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19,8</w:t>
            </w:r>
          </w:p>
        </w:tc>
        <w:tc>
          <w:tcPr>
            <w:tcW w:w="949" w:type="dxa"/>
            <w:vAlign w:val="center"/>
            <w:hideMark/>
          </w:tcPr>
          <w:p w14:paraId="50CD904A" w14:textId="4309EBCA" w:rsidR="00F23DB2" w:rsidRPr="005822EA"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-2,0</w:t>
            </w:r>
          </w:p>
        </w:tc>
        <w:tc>
          <w:tcPr>
            <w:tcW w:w="948" w:type="dxa"/>
            <w:vAlign w:val="center"/>
            <w:hideMark/>
          </w:tcPr>
          <w:p w14:paraId="792558FF" w14:textId="295D50FF" w:rsidR="00F23DB2" w:rsidRPr="005822EA"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2,3</w:t>
            </w:r>
          </w:p>
        </w:tc>
        <w:tc>
          <w:tcPr>
            <w:tcW w:w="949" w:type="dxa"/>
            <w:vAlign w:val="center"/>
            <w:hideMark/>
          </w:tcPr>
          <w:p w14:paraId="28D420FB" w14:textId="1A5DB3AD" w:rsidR="00F23DB2" w:rsidRPr="005822EA"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4,7</w:t>
            </w:r>
          </w:p>
        </w:tc>
        <w:tc>
          <w:tcPr>
            <w:tcW w:w="949" w:type="dxa"/>
            <w:vAlign w:val="center"/>
            <w:hideMark/>
          </w:tcPr>
          <w:p w14:paraId="6D01F7DA" w14:textId="2104738D" w:rsidR="00F23DB2" w:rsidRPr="005822EA"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3,2</w:t>
            </w:r>
          </w:p>
        </w:tc>
        <w:tc>
          <w:tcPr>
            <w:tcW w:w="949" w:type="dxa"/>
            <w:vAlign w:val="center"/>
            <w:hideMark/>
          </w:tcPr>
          <w:p w14:paraId="7F8E48A6" w14:textId="019C0DAE" w:rsidR="00F23DB2" w:rsidRPr="005822EA"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3,0</w:t>
            </w:r>
          </w:p>
        </w:tc>
      </w:tr>
      <w:tr w:rsidR="00F23DB2" w:rsidRPr="005822EA" w14:paraId="3B172C07" w14:textId="77777777" w:rsidTr="00F23DB2">
        <w:trPr>
          <w:trHeight w:val="300"/>
          <w:jc w:val="center"/>
        </w:trPr>
        <w:tc>
          <w:tcPr>
            <w:cnfStyle w:val="001000000000" w:firstRow="0" w:lastRow="0" w:firstColumn="1" w:lastColumn="0" w:oddVBand="0" w:evenVBand="0" w:oddHBand="0" w:evenHBand="0" w:firstRowFirstColumn="0" w:firstRowLastColumn="0" w:lastRowFirstColumn="0" w:lastRowLastColumn="0"/>
            <w:tcW w:w="2338" w:type="dxa"/>
            <w:hideMark/>
          </w:tcPr>
          <w:p w14:paraId="7F29CA2E" w14:textId="77777777" w:rsidR="00F23DB2" w:rsidRPr="005822EA" w:rsidRDefault="00F23DB2" w:rsidP="00F23DB2">
            <w:pPr>
              <w:pStyle w:val="Tabelid"/>
            </w:pPr>
            <w:r w:rsidRPr="005822EA">
              <w:t>8. Kaupade ja teenuste import</w:t>
            </w:r>
          </w:p>
        </w:tc>
        <w:tc>
          <w:tcPr>
            <w:tcW w:w="1064" w:type="dxa"/>
            <w:vAlign w:val="center"/>
          </w:tcPr>
          <w:p w14:paraId="013E3EC0" w14:textId="681639B5" w:rsidR="00F23DB2" w:rsidRPr="005822EA"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6,7</w:t>
            </w:r>
          </w:p>
        </w:tc>
        <w:tc>
          <w:tcPr>
            <w:tcW w:w="948" w:type="dxa"/>
            <w:vAlign w:val="center"/>
          </w:tcPr>
          <w:p w14:paraId="4BF9FEED" w14:textId="1593306E" w:rsidR="00F23DB2" w:rsidRPr="00F23DB2"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0,9</w:t>
            </w:r>
          </w:p>
        </w:tc>
        <w:tc>
          <w:tcPr>
            <w:tcW w:w="949" w:type="dxa"/>
            <w:vAlign w:val="center"/>
            <w:hideMark/>
          </w:tcPr>
          <w:p w14:paraId="50B5A643" w14:textId="354AB682" w:rsidR="00F23DB2" w:rsidRPr="005822EA"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20,6</w:t>
            </w:r>
          </w:p>
        </w:tc>
        <w:tc>
          <w:tcPr>
            <w:tcW w:w="949" w:type="dxa"/>
            <w:vAlign w:val="center"/>
            <w:hideMark/>
          </w:tcPr>
          <w:p w14:paraId="63B82750" w14:textId="0865738A" w:rsidR="00F23DB2" w:rsidRPr="005822EA"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-6,6</w:t>
            </w:r>
          </w:p>
        </w:tc>
        <w:tc>
          <w:tcPr>
            <w:tcW w:w="948" w:type="dxa"/>
            <w:vAlign w:val="center"/>
            <w:hideMark/>
          </w:tcPr>
          <w:p w14:paraId="2AC91323" w14:textId="33E2A9BC" w:rsidR="00F23DB2" w:rsidRPr="005822EA"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2,1</w:t>
            </w:r>
          </w:p>
        </w:tc>
        <w:tc>
          <w:tcPr>
            <w:tcW w:w="949" w:type="dxa"/>
            <w:vAlign w:val="center"/>
            <w:hideMark/>
          </w:tcPr>
          <w:p w14:paraId="7EEFEED7" w14:textId="39489E85" w:rsidR="00F23DB2" w:rsidRPr="005822EA"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3,4</w:t>
            </w:r>
          </w:p>
        </w:tc>
        <w:tc>
          <w:tcPr>
            <w:tcW w:w="949" w:type="dxa"/>
            <w:vAlign w:val="center"/>
            <w:hideMark/>
          </w:tcPr>
          <w:p w14:paraId="55AAB919" w14:textId="49C9038F" w:rsidR="00F23DB2" w:rsidRPr="005822EA"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2,8</w:t>
            </w:r>
          </w:p>
        </w:tc>
        <w:tc>
          <w:tcPr>
            <w:tcW w:w="949" w:type="dxa"/>
            <w:vAlign w:val="center"/>
            <w:hideMark/>
          </w:tcPr>
          <w:p w14:paraId="118BCBD4" w14:textId="2258445B" w:rsidR="00F23DB2" w:rsidRPr="005822EA"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2,3</w:t>
            </w:r>
          </w:p>
        </w:tc>
      </w:tr>
      <w:tr w:rsidR="0016466E" w:rsidRPr="005822EA" w14:paraId="53D7E4FE" w14:textId="77777777" w:rsidTr="00F23DB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38" w:type="dxa"/>
            <w:hideMark/>
          </w:tcPr>
          <w:p w14:paraId="0300E23C" w14:textId="77777777" w:rsidR="0016466E" w:rsidRPr="005822EA" w:rsidRDefault="0016466E" w:rsidP="0016466E">
            <w:pPr>
              <w:pStyle w:val="Tabelid"/>
            </w:pPr>
            <w:r w:rsidRPr="005822EA">
              <w:t>Panus SKP kasvu</w:t>
            </w:r>
          </w:p>
        </w:tc>
        <w:tc>
          <w:tcPr>
            <w:tcW w:w="1064" w:type="dxa"/>
            <w:vAlign w:val="center"/>
          </w:tcPr>
          <w:p w14:paraId="53F3DB88" w14:textId="77777777" w:rsidR="0016466E" w:rsidRPr="005822EA" w:rsidRDefault="0016466E" w:rsidP="005D54E4">
            <w:pPr>
              <w:pStyle w:val="Tabelid"/>
              <w:jc w:val="right"/>
              <w:cnfStyle w:val="000000100000" w:firstRow="0" w:lastRow="0" w:firstColumn="0" w:lastColumn="0" w:oddVBand="0" w:evenVBand="0" w:oddHBand="1" w:evenHBand="0" w:firstRowFirstColumn="0" w:firstRowLastColumn="0" w:lastRowFirstColumn="0" w:lastRowLastColumn="0"/>
            </w:pPr>
          </w:p>
        </w:tc>
        <w:tc>
          <w:tcPr>
            <w:tcW w:w="948" w:type="dxa"/>
            <w:vAlign w:val="center"/>
          </w:tcPr>
          <w:p w14:paraId="4D39D20A" w14:textId="77777777" w:rsidR="0016466E" w:rsidRPr="00F23DB2" w:rsidRDefault="0016466E" w:rsidP="005D54E4">
            <w:pPr>
              <w:pStyle w:val="Tabelid"/>
              <w:jc w:val="right"/>
              <w:cnfStyle w:val="000000100000" w:firstRow="0" w:lastRow="0" w:firstColumn="0" w:lastColumn="0" w:oddVBand="0" w:evenVBand="0" w:oddHBand="1" w:evenHBand="0" w:firstRowFirstColumn="0" w:firstRowLastColumn="0" w:lastRowFirstColumn="0" w:lastRowLastColumn="0"/>
            </w:pPr>
          </w:p>
        </w:tc>
        <w:tc>
          <w:tcPr>
            <w:tcW w:w="949" w:type="dxa"/>
            <w:vAlign w:val="center"/>
            <w:hideMark/>
          </w:tcPr>
          <w:p w14:paraId="3E3BAE1D" w14:textId="77777777" w:rsidR="0016466E" w:rsidRPr="005822EA" w:rsidRDefault="0016466E" w:rsidP="005D54E4">
            <w:pPr>
              <w:pStyle w:val="Tabelid"/>
              <w:jc w:val="right"/>
              <w:cnfStyle w:val="000000100000" w:firstRow="0" w:lastRow="0" w:firstColumn="0" w:lastColumn="0" w:oddVBand="0" w:evenVBand="0" w:oddHBand="1" w:evenHBand="0" w:firstRowFirstColumn="0" w:firstRowLastColumn="0" w:lastRowFirstColumn="0" w:lastRowLastColumn="0"/>
            </w:pPr>
          </w:p>
        </w:tc>
        <w:tc>
          <w:tcPr>
            <w:tcW w:w="949" w:type="dxa"/>
            <w:vAlign w:val="center"/>
            <w:hideMark/>
          </w:tcPr>
          <w:p w14:paraId="12935845" w14:textId="77777777" w:rsidR="0016466E" w:rsidRPr="005822EA" w:rsidRDefault="0016466E" w:rsidP="005D54E4">
            <w:pPr>
              <w:pStyle w:val="Tabelid"/>
              <w:jc w:val="right"/>
              <w:cnfStyle w:val="000000100000" w:firstRow="0" w:lastRow="0" w:firstColumn="0" w:lastColumn="0" w:oddVBand="0" w:evenVBand="0" w:oddHBand="1" w:evenHBand="0" w:firstRowFirstColumn="0" w:firstRowLastColumn="0" w:lastRowFirstColumn="0" w:lastRowLastColumn="0"/>
            </w:pPr>
          </w:p>
        </w:tc>
        <w:tc>
          <w:tcPr>
            <w:tcW w:w="948" w:type="dxa"/>
            <w:vAlign w:val="center"/>
            <w:hideMark/>
          </w:tcPr>
          <w:p w14:paraId="39ADF85A" w14:textId="77777777" w:rsidR="0016466E" w:rsidRPr="005822EA" w:rsidRDefault="0016466E" w:rsidP="005D54E4">
            <w:pPr>
              <w:pStyle w:val="Tabelid"/>
              <w:jc w:val="right"/>
              <w:cnfStyle w:val="000000100000" w:firstRow="0" w:lastRow="0" w:firstColumn="0" w:lastColumn="0" w:oddVBand="0" w:evenVBand="0" w:oddHBand="1" w:evenHBand="0" w:firstRowFirstColumn="0" w:firstRowLastColumn="0" w:lastRowFirstColumn="0" w:lastRowLastColumn="0"/>
            </w:pPr>
          </w:p>
        </w:tc>
        <w:tc>
          <w:tcPr>
            <w:tcW w:w="949" w:type="dxa"/>
            <w:vAlign w:val="center"/>
            <w:hideMark/>
          </w:tcPr>
          <w:p w14:paraId="621D71C1" w14:textId="77777777" w:rsidR="0016466E" w:rsidRPr="005822EA" w:rsidRDefault="0016466E" w:rsidP="005D54E4">
            <w:pPr>
              <w:pStyle w:val="Tabelid"/>
              <w:jc w:val="right"/>
              <w:cnfStyle w:val="000000100000" w:firstRow="0" w:lastRow="0" w:firstColumn="0" w:lastColumn="0" w:oddVBand="0" w:evenVBand="0" w:oddHBand="1" w:evenHBand="0" w:firstRowFirstColumn="0" w:firstRowLastColumn="0" w:lastRowFirstColumn="0" w:lastRowLastColumn="0"/>
            </w:pPr>
          </w:p>
        </w:tc>
        <w:tc>
          <w:tcPr>
            <w:tcW w:w="949" w:type="dxa"/>
            <w:vAlign w:val="center"/>
            <w:hideMark/>
          </w:tcPr>
          <w:p w14:paraId="1EA1E9E2" w14:textId="77777777" w:rsidR="0016466E" w:rsidRPr="005822EA" w:rsidRDefault="0016466E" w:rsidP="005D54E4">
            <w:pPr>
              <w:pStyle w:val="Tabelid"/>
              <w:jc w:val="right"/>
              <w:cnfStyle w:val="000000100000" w:firstRow="0" w:lastRow="0" w:firstColumn="0" w:lastColumn="0" w:oddVBand="0" w:evenVBand="0" w:oddHBand="1" w:evenHBand="0" w:firstRowFirstColumn="0" w:firstRowLastColumn="0" w:lastRowFirstColumn="0" w:lastRowLastColumn="0"/>
            </w:pPr>
          </w:p>
        </w:tc>
        <w:tc>
          <w:tcPr>
            <w:tcW w:w="949" w:type="dxa"/>
            <w:vAlign w:val="center"/>
            <w:hideMark/>
          </w:tcPr>
          <w:p w14:paraId="449644BD" w14:textId="77777777" w:rsidR="0016466E" w:rsidRPr="005822EA" w:rsidRDefault="0016466E" w:rsidP="005D54E4">
            <w:pPr>
              <w:pStyle w:val="Tabelid"/>
              <w:jc w:val="right"/>
              <w:cnfStyle w:val="000000100000" w:firstRow="0" w:lastRow="0" w:firstColumn="0" w:lastColumn="0" w:oddVBand="0" w:evenVBand="0" w:oddHBand="1" w:evenHBand="0" w:firstRowFirstColumn="0" w:firstRowLastColumn="0" w:lastRowFirstColumn="0" w:lastRowLastColumn="0"/>
            </w:pPr>
          </w:p>
        </w:tc>
      </w:tr>
      <w:tr w:rsidR="00F23DB2" w:rsidRPr="00C9767F" w14:paraId="6EB6FE9C" w14:textId="77777777" w:rsidTr="00F23DB2">
        <w:trPr>
          <w:trHeight w:val="300"/>
          <w:jc w:val="center"/>
        </w:trPr>
        <w:tc>
          <w:tcPr>
            <w:cnfStyle w:val="001000000000" w:firstRow="0" w:lastRow="0" w:firstColumn="1" w:lastColumn="0" w:oddVBand="0" w:evenVBand="0" w:oddHBand="0" w:evenHBand="0" w:firstRowFirstColumn="0" w:firstRowLastColumn="0" w:lastRowFirstColumn="0" w:lastRowLastColumn="0"/>
            <w:tcW w:w="2338" w:type="dxa"/>
            <w:hideMark/>
          </w:tcPr>
          <w:p w14:paraId="1C78D86A" w14:textId="77777777" w:rsidR="00F23DB2" w:rsidRPr="00C9767F" w:rsidRDefault="00F23DB2" w:rsidP="00F23DB2">
            <w:pPr>
              <w:pStyle w:val="Tabelid"/>
            </w:pPr>
            <w:r w:rsidRPr="00C9767F">
              <w:t>9. Sisemajanduse nõudlus</w:t>
            </w:r>
          </w:p>
        </w:tc>
        <w:tc>
          <w:tcPr>
            <w:tcW w:w="1064" w:type="dxa"/>
            <w:vAlign w:val="center"/>
          </w:tcPr>
          <w:p w14:paraId="631322D0" w14:textId="7E2A885B" w:rsidR="00F23DB2" w:rsidRPr="00C9767F"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4,1</w:t>
            </w:r>
          </w:p>
        </w:tc>
        <w:tc>
          <w:tcPr>
            <w:tcW w:w="948" w:type="dxa"/>
            <w:vAlign w:val="center"/>
          </w:tcPr>
          <w:p w14:paraId="702B6A43" w14:textId="52590267" w:rsidR="00F23DB2" w:rsidRPr="00C9767F"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4,4</w:t>
            </w:r>
          </w:p>
        </w:tc>
        <w:tc>
          <w:tcPr>
            <w:tcW w:w="949" w:type="dxa"/>
            <w:vAlign w:val="center"/>
            <w:hideMark/>
          </w:tcPr>
          <w:p w14:paraId="4C989156" w14:textId="028FF82A" w:rsidR="00F23DB2" w:rsidRPr="00C9767F"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4,9</w:t>
            </w:r>
          </w:p>
        </w:tc>
        <w:tc>
          <w:tcPr>
            <w:tcW w:w="949" w:type="dxa"/>
            <w:vAlign w:val="center"/>
            <w:hideMark/>
          </w:tcPr>
          <w:p w14:paraId="140C79F8" w14:textId="154CF9D9" w:rsidR="00F23DB2" w:rsidRPr="00C9767F"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-4,4</w:t>
            </w:r>
          </w:p>
        </w:tc>
        <w:tc>
          <w:tcPr>
            <w:tcW w:w="948" w:type="dxa"/>
            <w:vAlign w:val="center"/>
            <w:hideMark/>
          </w:tcPr>
          <w:p w14:paraId="3DAFDDE2" w14:textId="076AA6BC" w:rsidR="00F23DB2" w:rsidRPr="00C9767F"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1,2</w:t>
            </w:r>
          </w:p>
        </w:tc>
        <w:tc>
          <w:tcPr>
            <w:tcW w:w="949" w:type="dxa"/>
            <w:vAlign w:val="center"/>
            <w:hideMark/>
          </w:tcPr>
          <w:p w14:paraId="1EE0092F" w14:textId="7298DFE9" w:rsidR="00F23DB2" w:rsidRPr="00C9767F"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1,8</w:t>
            </w:r>
          </w:p>
        </w:tc>
        <w:tc>
          <w:tcPr>
            <w:tcW w:w="949" w:type="dxa"/>
            <w:vAlign w:val="center"/>
            <w:hideMark/>
          </w:tcPr>
          <w:p w14:paraId="13CD2100" w14:textId="4E6341F1" w:rsidR="00F23DB2" w:rsidRPr="00C9767F"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1,8</w:t>
            </w:r>
          </w:p>
        </w:tc>
        <w:tc>
          <w:tcPr>
            <w:tcW w:w="949" w:type="dxa"/>
            <w:vAlign w:val="center"/>
            <w:hideMark/>
          </w:tcPr>
          <w:p w14:paraId="3F77B712" w14:textId="14ED35CF" w:rsidR="00F23DB2" w:rsidRPr="00C9767F" w:rsidRDefault="00F23DB2" w:rsidP="005D54E4">
            <w:pPr>
              <w:pStyle w:val="Tabelid"/>
              <w:jc w:val="right"/>
              <w:cnfStyle w:val="000000000000" w:firstRow="0" w:lastRow="0" w:firstColumn="0" w:lastColumn="0" w:oddVBand="0" w:evenVBand="0" w:oddHBand="0" w:evenHBand="0" w:firstRowFirstColumn="0" w:firstRowLastColumn="0" w:lastRowFirstColumn="0" w:lastRowLastColumn="0"/>
            </w:pPr>
            <w:r w:rsidRPr="00F23DB2">
              <w:t>1,7</w:t>
            </w:r>
          </w:p>
        </w:tc>
      </w:tr>
      <w:tr w:rsidR="00F23DB2" w:rsidRPr="00C9767F" w14:paraId="334349B3" w14:textId="77777777" w:rsidTr="00F23DB2">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2338" w:type="dxa"/>
            <w:hideMark/>
          </w:tcPr>
          <w:p w14:paraId="7D52950A" w14:textId="77777777" w:rsidR="00F23DB2" w:rsidRPr="00C9767F" w:rsidRDefault="00F23DB2" w:rsidP="00F23DB2">
            <w:pPr>
              <w:pStyle w:val="Tabelid"/>
            </w:pPr>
            <w:r w:rsidRPr="00C9767F">
              <w:t>10. Kaupade ja teenuste bilanss</w:t>
            </w:r>
          </w:p>
        </w:tc>
        <w:tc>
          <w:tcPr>
            <w:tcW w:w="1064" w:type="dxa"/>
            <w:vAlign w:val="center"/>
          </w:tcPr>
          <w:p w14:paraId="642C8FE6" w14:textId="3D3F2002" w:rsidR="00F23DB2" w:rsidRPr="00C9767F"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-0,3</w:t>
            </w:r>
          </w:p>
        </w:tc>
        <w:tc>
          <w:tcPr>
            <w:tcW w:w="948" w:type="dxa"/>
            <w:vAlign w:val="center"/>
          </w:tcPr>
          <w:p w14:paraId="1C9960B8" w14:textId="7216ED5B" w:rsidR="00F23DB2" w:rsidRPr="00C9767F"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-4,3</w:t>
            </w:r>
          </w:p>
        </w:tc>
        <w:tc>
          <w:tcPr>
            <w:tcW w:w="949" w:type="dxa"/>
            <w:vAlign w:val="center"/>
            <w:hideMark/>
          </w:tcPr>
          <w:p w14:paraId="4320377A" w14:textId="3AAA56C7" w:rsidR="00F23DB2" w:rsidRPr="00C9767F"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-0,4</w:t>
            </w:r>
          </w:p>
        </w:tc>
        <w:tc>
          <w:tcPr>
            <w:tcW w:w="949" w:type="dxa"/>
            <w:vAlign w:val="center"/>
            <w:hideMark/>
          </w:tcPr>
          <w:p w14:paraId="45FD2BD8" w14:textId="476A8DA6" w:rsidR="00F23DB2" w:rsidRPr="00C9767F"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3,5</w:t>
            </w:r>
          </w:p>
        </w:tc>
        <w:tc>
          <w:tcPr>
            <w:tcW w:w="948" w:type="dxa"/>
            <w:vAlign w:val="center"/>
            <w:hideMark/>
          </w:tcPr>
          <w:p w14:paraId="1C87E639" w14:textId="00ABE98D" w:rsidR="00F23DB2" w:rsidRPr="00C9767F"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0,2</w:t>
            </w:r>
          </w:p>
        </w:tc>
        <w:tc>
          <w:tcPr>
            <w:tcW w:w="949" w:type="dxa"/>
            <w:vAlign w:val="center"/>
            <w:hideMark/>
          </w:tcPr>
          <w:p w14:paraId="2497C9A3" w14:textId="4208BACF" w:rsidR="00F23DB2" w:rsidRPr="00C9767F"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1,3</w:t>
            </w:r>
          </w:p>
        </w:tc>
        <w:tc>
          <w:tcPr>
            <w:tcW w:w="949" w:type="dxa"/>
            <w:vAlign w:val="center"/>
            <w:hideMark/>
          </w:tcPr>
          <w:p w14:paraId="6E1F3D24" w14:textId="0C0B0C68" w:rsidR="00F23DB2" w:rsidRPr="00C9767F"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0,5</w:t>
            </w:r>
          </w:p>
        </w:tc>
        <w:tc>
          <w:tcPr>
            <w:tcW w:w="949" w:type="dxa"/>
            <w:vAlign w:val="center"/>
            <w:hideMark/>
          </w:tcPr>
          <w:p w14:paraId="3F79807E" w14:textId="35FE1AB2" w:rsidR="00F23DB2" w:rsidRPr="00C9767F" w:rsidRDefault="00F23DB2" w:rsidP="005D54E4">
            <w:pPr>
              <w:pStyle w:val="Tabelid"/>
              <w:jc w:val="right"/>
              <w:cnfStyle w:val="000000100000" w:firstRow="0" w:lastRow="0" w:firstColumn="0" w:lastColumn="0" w:oddVBand="0" w:evenVBand="0" w:oddHBand="1" w:evenHBand="0" w:firstRowFirstColumn="0" w:firstRowLastColumn="0" w:lastRowFirstColumn="0" w:lastRowLastColumn="0"/>
            </w:pPr>
            <w:r w:rsidRPr="00F23DB2">
              <w:t>0,7</w:t>
            </w:r>
          </w:p>
        </w:tc>
      </w:tr>
    </w:tbl>
    <w:p w14:paraId="4E7C366D" w14:textId="77777777" w:rsidR="00831AD9" w:rsidRPr="005822EA" w:rsidRDefault="00831AD9" w:rsidP="00831AD9">
      <w:pPr>
        <w:pStyle w:val="Phitekst"/>
        <w:rPr>
          <w:highlight w:val="yellow"/>
        </w:rPr>
      </w:pPr>
    </w:p>
    <w:p w14:paraId="0E40DFF3" w14:textId="0A9621BC" w:rsidR="00831AD9" w:rsidRPr="00E54FF2" w:rsidRDefault="00831AD9" w:rsidP="00E54FF2">
      <w:pPr>
        <w:pStyle w:val="Pealdis"/>
      </w:pPr>
      <w:bookmarkStart w:id="164" w:name="_Toc511374598"/>
      <w:bookmarkStart w:id="165" w:name="_Toc4502666"/>
      <w:bookmarkStart w:id="166" w:name="_Toc100230291"/>
      <w:r w:rsidRPr="00E54FF2">
        <w:t xml:space="preserve">Tabel </w:t>
      </w:r>
      <w:fldSimple w:instr=" SEQ Tabel \* ARABIC ">
        <w:r w:rsidR="000C04EE">
          <w:rPr>
            <w:noProof/>
          </w:rPr>
          <w:t>6</w:t>
        </w:r>
      </w:fldSimple>
      <w:r w:rsidRPr="00E54FF2">
        <w:t>. Hindade prognoos 202</w:t>
      </w:r>
      <w:r w:rsidR="00F23DB2">
        <w:t>2</w:t>
      </w:r>
      <w:r w:rsidRPr="00E54FF2">
        <w:t>–202</w:t>
      </w:r>
      <w:bookmarkEnd w:id="164"/>
      <w:bookmarkEnd w:id="165"/>
      <w:r w:rsidR="00F23DB2">
        <w:t>6</w:t>
      </w:r>
      <w:bookmarkEnd w:id="166"/>
    </w:p>
    <w:tbl>
      <w:tblPr>
        <w:tblStyle w:val="Peentabel1"/>
        <w:tblW w:w="10043" w:type="dxa"/>
        <w:tblLook w:val="04A0" w:firstRow="1" w:lastRow="0" w:firstColumn="1" w:lastColumn="0" w:noHBand="0" w:noVBand="1"/>
      </w:tblPr>
      <w:tblGrid>
        <w:gridCol w:w="2330"/>
        <w:gridCol w:w="1072"/>
        <w:gridCol w:w="948"/>
        <w:gridCol w:w="949"/>
        <w:gridCol w:w="949"/>
        <w:gridCol w:w="948"/>
        <w:gridCol w:w="949"/>
        <w:gridCol w:w="949"/>
        <w:gridCol w:w="949"/>
      </w:tblGrid>
      <w:tr w:rsidR="00F23DB2" w:rsidRPr="005822EA" w14:paraId="14598DDE" w14:textId="77777777" w:rsidTr="005150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0" w:type="dxa"/>
            <w:hideMark/>
          </w:tcPr>
          <w:p w14:paraId="69DC136A" w14:textId="77777777" w:rsidR="00F23DB2" w:rsidRPr="005822EA" w:rsidRDefault="00F23DB2" w:rsidP="00F23DB2">
            <w:pPr>
              <w:pStyle w:val="Tabelid"/>
            </w:pPr>
            <w:r w:rsidRPr="005822EA">
              <w:t>%</w:t>
            </w:r>
          </w:p>
        </w:tc>
        <w:tc>
          <w:tcPr>
            <w:tcW w:w="1072" w:type="dxa"/>
          </w:tcPr>
          <w:p w14:paraId="3AE1B4CE" w14:textId="3800F134" w:rsidR="00F23DB2" w:rsidRPr="005822EA" w:rsidRDefault="00F23DB2" w:rsidP="005D54E4">
            <w:pPr>
              <w:pStyle w:val="Tabelid"/>
              <w:jc w:val="right"/>
              <w:cnfStyle w:val="100000000000" w:firstRow="1" w:lastRow="0" w:firstColumn="0" w:lastColumn="0" w:oddVBand="0" w:evenVBand="0" w:oddHBand="0" w:evenHBand="0" w:firstRowFirstColumn="0" w:firstRowLastColumn="0" w:lastRowFirstColumn="0" w:lastRowLastColumn="0"/>
              <w:rPr>
                <w:highlight w:val="yellow"/>
              </w:rPr>
            </w:pPr>
            <w:r w:rsidRPr="005822EA">
              <w:t>2011-1</w:t>
            </w:r>
            <w:r>
              <w:t>9</w:t>
            </w:r>
          </w:p>
        </w:tc>
        <w:tc>
          <w:tcPr>
            <w:tcW w:w="948" w:type="dxa"/>
          </w:tcPr>
          <w:p w14:paraId="7FE220DE" w14:textId="77DF1051" w:rsidR="00F23DB2" w:rsidRPr="005822EA" w:rsidRDefault="00F23DB2" w:rsidP="005D54E4">
            <w:pPr>
              <w:pStyle w:val="Tabelid"/>
              <w:jc w:val="right"/>
              <w:cnfStyle w:val="100000000000" w:firstRow="1" w:lastRow="0" w:firstColumn="0" w:lastColumn="0" w:oddVBand="0" w:evenVBand="0" w:oddHBand="0" w:evenHBand="0" w:firstRowFirstColumn="0" w:firstRowLastColumn="0" w:lastRowFirstColumn="0" w:lastRowLastColumn="0"/>
            </w:pPr>
            <w:r w:rsidRPr="005822EA">
              <w:t>2020</w:t>
            </w:r>
          </w:p>
        </w:tc>
        <w:tc>
          <w:tcPr>
            <w:tcW w:w="949" w:type="dxa"/>
            <w:hideMark/>
          </w:tcPr>
          <w:p w14:paraId="2113E348" w14:textId="676167CA" w:rsidR="00F23DB2" w:rsidRPr="005822EA" w:rsidRDefault="00F23DB2" w:rsidP="005D54E4">
            <w:pPr>
              <w:pStyle w:val="Tabelid"/>
              <w:jc w:val="right"/>
              <w:cnfStyle w:val="100000000000" w:firstRow="1" w:lastRow="0" w:firstColumn="0" w:lastColumn="0" w:oddVBand="0" w:evenVBand="0" w:oddHBand="0" w:evenHBand="0" w:firstRowFirstColumn="0" w:firstRowLastColumn="0" w:lastRowFirstColumn="0" w:lastRowLastColumn="0"/>
            </w:pPr>
            <w:r w:rsidRPr="005822EA">
              <w:t>2021</w:t>
            </w:r>
          </w:p>
        </w:tc>
        <w:tc>
          <w:tcPr>
            <w:tcW w:w="949" w:type="dxa"/>
            <w:hideMark/>
          </w:tcPr>
          <w:p w14:paraId="1302F3BC" w14:textId="52B566A3" w:rsidR="00F23DB2" w:rsidRPr="005822EA" w:rsidRDefault="00F23DB2" w:rsidP="005D54E4">
            <w:pPr>
              <w:pStyle w:val="Tabelid"/>
              <w:jc w:val="right"/>
              <w:cnfStyle w:val="100000000000" w:firstRow="1" w:lastRow="0" w:firstColumn="0" w:lastColumn="0" w:oddVBand="0" w:evenVBand="0" w:oddHBand="0" w:evenHBand="0" w:firstRowFirstColumn="0" w:firstRowLastColumn="0" w:lastRowFirstColumn="0" w:lastRowLastColumn="0"/>
            </w:pPr>
            <w:r w:rsidRPr="005822EA">
              <w:t>2022</w:t>
            </w:r>
          </w:p>
        </w:tc>
        <w:tc>
          <w:tcPr>
            <w:tcW w:w="948" w:type="dxa"/>
            <w:hideMark/>
          </w:tcPr>
          <w:p w14:paraId="734D3E13" w14:textId="7AD57E1A" w:rsidR="00F23DB2" w:rsidRPr="005822EA" w:rsidRDefault="00F23DB2" w:rsidP="005D54E4">
            <w:pPr>
              <w:pStyle w:val="Tabelid"/>
              <w:jc w:val="right"/>
              <w:cnfStyle w:val="100000000000" w:firstRow="1" w:lastRow="0" w:firstColumn="0" w:lastColumn="0" w:oddVBand="0" w:evenVBand="0" w:oddHBand="0" w:evenHBand="0" w:firstRowFirstColumn="0" w:firstRowLastColumn="0" w:lastRowFirstColumn="0" w:lastRowLastColumn="0"/>
            </w:pPr>
            <w:r w:rsidRPr="005822EA">
              <w:t>2023</w:t>
            </w:r>
          </w:p>
        </w:tc>
        <w:tc>
          <w:tcPr>
            <w:tcW w:w="949" w:type="dxa"/>
            <w:hideMark/>
          </w:tcPr>
          <w:p w14:paraId="75534361" w14:textId="04516C9B" w:rsidR="00F23DB2" w:rsidRPr="005822EA" w:rsidRDefault="00F23DB2" w:rsidP="005D54E4">
            <w:pPr>
              <w:pStyle w:val="Tabelid"/>
              <w:jc w:val="right"/>
              <w:cnfStyle w:val="100000000000" w:firstRow="1" w:lastRow="0" w:firstColumn="0" w:lastColumn="0" w:oddVBand="0" w:evenVBand="0" w:oddHBand="0" w:evenHBand="0" w:firstRowFirstColumn="0" w:firstRowLastColumn="0" w:lastRowFirstColumn="0" w:lastRowLastColumn="0"/>
            </w:pPr>
            <w:r w:rsidRPr="005822EA">
              <w:t>2024</w:t>
            </w:r>
          </w:p>
        </w:tc>
        <w:tc>
          <w:tcPr>
            <w:tcW w:w="949" w:type="dxa"/>
            <w:hideMark/>
          </w:tcPr>
          <w:p w14:paraId="164CD069" w14:textId="5EB9F097" w:rsidR="00F23DB2" w:rsidRPr="005822EA" w:rsidRDefault="00F23DB2" w:rsidP="005D54E4">
            <w:pPr>
              <w:pStyle w:val="Tabelid"/>
              <w:jc w:val="right"/>
              <w:cnfStyle w:val="100000000000" w:firstRow="1" w:lastRow="0" w:firstColumn="0" w:lastColumn="0" w:oddVBand="0" w:evenVBand="0" w:oddHBand="0" w:evenHBand="0" w:firstRowFirstColumn="0" w:firstRowLastColumn="0" w:lastRowFirstColumn="0" w:lastRowLastColumn="0"/>
            </w:pPr>
            <w:r w:rsidRPr="005822EA">
              <w:t>2025</w:t>
            </w:r>
          </w:p>
        </w:tc>
        <w:tc>
          <w:tcPr>
            <w:tcW w:w="949" w:type="dxa"/>
            <w:hideMark/>
          </w:tcPr>
          <w:p w14:paraId="1BE3FC7A" w14:textId="733CEA59" w:rsidR="00F23DB2" w:rsidRPr="005822EA" w:rsidRDefault="00F23DB2" w:rsidP="005D54E4">
            <w:pPr>
              <w:pStyle w:val="Tabelid"/>
              <w:jc w:val="right"/>
              <w:cnfStyle w:val="100000000000" w:firstRow="1" w:lastRow="0" w:firstColumn="0" w:lastColumn="0" w:oddVBand="0" w:evenVBand="0" w:oddHBand="0" w:evenHBand="0" w:firstRowFirstColumn="0" w:firstRowLastColumn="0" w:lastRowFirstColumn="0" w:lastRowLastColumn="0"/>
            </w:pPr>
            <w:r w:rsidRPr="005822EA">
              <w:t>202</w:t>
            </w:r>
            <w:r>
              <w:t>6</w:t>
            </w:r>
          </w:p>
        </w:tc>
      </w:tr>
      <w:tr w:rsidR="005D54E4" w:rsidRPr="005822EA" w14:paraId="0283B52D" w14:textId="77777777" w:rsidTr="00980E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0" w:type="dxa"/>
            <w:hideMark/>
          </w:tcPr>
          <w:p w14:paraId="4AA4444E" w14:textId="77777777" w:rsidR="005D54E4" w:rsidRPr="005822EA" w:rsidRDefault="005D54E4" w:rsidP="005D54E4">
            <w:pPr>
              <w:pStyle w:val="Tabelid"/>
            </w:pPr>
            <w:r w:rsidRPr="005822EA">
              <w:t>1. SKP deflaator</w:t>
            </w:r>
          </w:p>
        </w:tc>
        <w:tc>
          <w:tcPr>
            <w:tcW w:w="1072" w:type="dxa"/>
            <w:vAlign w:val="center"/>
          </w:tcPr>
          <w:p w14:paraId="1ADD4931" w14:textId="2FD66107" w:rsidR="005D54E4" w:rsidRPr="005822EA"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980E15">
              <w:t>3,4</w:t>
            </w:r>
          </w:p>
        </w:tc>
        <w:tc>
          <w:tcPr>
            <w:tcW w:w="948" w:type="dxa"/>
            <w:vAlign w:val="center"/>
          </w:tcPr>
          <w:p w14:paraId="364DA302" w14:textId="30BA351D" w:rsidR="005D54E4" w:rsidRPr="005822EA"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980E15">
              <w:t>-0,3</w:t>
            </w:r>
          </w:p>
        </w:tc>
        <w:tc>
          <w:tcPr>
            <w:tcW w:w="949" w:type="dxa"/>
            <w:vAlign w:val="center"/>
            <w:hideMark/>
          </w:tcPr>
          <w:p w14:paraId="5B736522" w14:textId="43C79F4C" w:rsidR="005D54E4" w:rsidRPr="005822EA"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980E15">
              <w:t>5,5</w:t>
            </w:r>
          </w:p>
        </w:tc>
        <w:tc>
          <w:tcPr>
            <w:tcW w:w="949" w:type="dxa"/>
            <w:vAlign w:val="center"/>
            <w:hideMark/>
          </w:tcPr>
          <w:p w14:paraId="74FBA848" w14:textId="45B44677" w:rsidR="005D54E4" w:rsidRPr="005822EA"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980E15">
              <w:t>7,8</w:t>
            </w:r>
          </w:p>
        </w:tc>
        <w:tc>
          <w:tcPr>
            <w:tcW w:w="948" w:type="dxa"/>
            <w:vAlign w:val="center"/>
            <w:hideMark/>
          </w:tcPr>
          <w:p w14:paraId="7573D7AD" w14:textId="107C00CD" w:rsidR="005D54E4" w:rsidRPr="005822EA"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980E15">
              <w:t>2,5</w:t>
            </w:r>
          </w:p>
        </w:tc>
        <w:tc>
          <w:tcPr>
            <w:tcW w:w="949" w:type="dxa"/>
            <w:vAlign w:val="center"/>
            <w:hideMark/>
          </w:tcPr>
          <w:p w14:paraId="7825FC0F" w14:textId="6757F06A" w:rsidR="005D54E4" w:rsidRPr="005822EA"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980E15">
              <w:t>1,7</w:t>
            </w:r>
          </w:p>
        </w:tc>
        <w:tc>
          <w:tcPr>
            <w:tcW w:w="949" w:type="dxa"/>
            <w:vAlign w:val="center"/>
            <w:hideMark/>
          </w:tcPr>
          <w:p w14:paraId="6443C129" w14:textId="5D653C12" w:rsidR="005D54E4" w:rsidRPr="005822EA"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980E15">
              <w:t>2,1</w:t>
            </w:r>
          </w:p>
        </w:tc>
        <w:tc>
          <w:tcPr>
            <w:tcW w:w="949" w:type="dxa"/>
            <w:vAlign w:val="center"/>
            <w:hideMark/>
          </w:tcPr>
          <w:p w14:paraId="16562986" w14:textId="189B6183" w:rsidR="005D54E4" w:rsidRPr="005822EA"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980E15">
              <w:t>2,4</w:t>
            </w:r>
          </w:p>
        </w:tc>
      </w:tr>
      <w:tr w:rsidR="00980E15" w:rsidRPr="005822EA" w14:paraId="3007BB2A" w14:textId="77777777" w:rsidTr="00980E15">
        <w:trPr>
          <w:trHeight w:val="300"/>
        </w:trPr>
        <w:tc>
          <w:tcPr>
            <w:cnfStyle w:val="001000000000" w:firstRow="0" w:lastRow="0" w:firstColumn="1" w:lastColumn="0" w:oddVBand="0" w:evenVBand="0" w:oddHBand="0" w:evenHBand="0" w:firstRowFirstColumn="0" w:firstRowLastColumn="0" w:lastRowFirstColumn="0" w:lastRowLastColumn="0"/>
            <w:tcW w:w="2330" w:type="dxa"/>
            <w:hideMark/>
          </w:tcPr>
          <w:p w14:paraId="11CA3B5E" w14:textId="77777777" w:rsidR="00980E15" w:rsidRPr="005822EA" w:rsidRDefault="00980E15" w:rsidP="00980E15">
            <w:pPr>
              <w:pStyle w:val="Tabelid"/>
            </w:pPr>
            <w:r w:rsidRPr="005822EA">
              <w:t>2. Eratarbimise deflaator</w:t>
            </w:r>
          </w:p>
        </w:tc>
        <w:tc>
          <w:tcPr>
            <w:tcW w:w="1072" w:type="dxa"/>
            <w:vAlign w:val="center"/>
          </w:tcPr>
          <w:p w14:paraId="16544B96" w14:textId="4DF111B6" w:rsidR="00980E15" w:rsidRPr="005822EA" w:rsidRDefault="00980E15" w:rsidP="00980E15">
            <w:pPr>
              <w:pStyle w:val="Tabelid"/>
              <w:jc w:val="right"/>
              <w:cnfStyle w:val="000000000000" w:firstRow="0" w:lastRow="0" w:firstColumn="0" w:lastColumn="0" w:oddVBand="0" w:evenVBand="0" w:oddHBand="0" w:evenHBand="0" w:firstRowFirstColumn="0" w:firstRowLastColumn="0" w:lastRowFirstColumn="0" w:lastRowLastColumn="0"/>
            </w:pPr>
            <w:r w:rsidRPr="005822EA">
              <w:t>2,</w:t>
            </w:r>
            <w:r>
              <w:t>7</w:t>
            </w:r>
          </w:p>
        </w:tc>
        <w:tc>
          <w:tcPr>
            <w:tcW w:w="948" w:type="dxa"/>
            <w:vAlign w:val="center"/>
          </w:tcPr>
          <w:p w14:paraId="3AE47A15" w14:textId="18CAC877" w:rsidR="00980E15" w:rsidRPr="005822EA" w:rsidRDefault="00980E15" w:rsidP="00980E15">
            <w:pPr>
              <w:pStyle w:val="Tabelid"/>
              <w:jc w:val="right"/>
              <w:cnfStyle w:val="000000000000" w:firstRow="0" w:lastRow="0" w:firstColumn="0" w:lastColumn="0" w:oddVBand="0" w:evenVBand="0" w:oddHBand="0" w:evenHBand="0" w:firstRowFirstColumn="0" w:firstRowLastColumn="0" w:lastRowFirstColumn="0" w:lastRowLastColumn="0"/>
            </w:pPr>
            <w:r w:rsidRPr="00980E15">
              <w:t>-0,7</w:t>
            </w:r>
          </w:p>
        </w:tc>
        <w:tc>
          <w:tcPr>
            <w:tcW w:w="949" w:type="dxa"/>
            <w:vAlign w:val="center"/>
            <w:hideMark/>
          </w:tcPr>
          <w:p w14:paraId="6A2C4122" w14:textId="64F7A2C6" w:rsidR="00980E15" w:rsidRPr="005822EA" w:rsidRDefault="00980E15" w:rsidP="00980E15">
            <w:pPr>
              <w:pStyle w:val="Tabelid"/>
              <w:jc w:val="right"/>
              <w:cnfStyle w:val="000000000000" w:firstRow="0" w:lastRow="0" w:firstColumn="0" w:lastColumn="0" w:oddVBand="0" w:evenVBand="0" w:oddHBand="0" w:evenHBand="0" w:firstRowFirstColumn="0" w:firstRowLastColumn="0" w:lastRowFirstColumn="0" w:lastRowLastColumn="0"/>
            </w:pPr>
            <w:r w:rsidRPr="00980E15">
              <w:t>4,3</w:t>
            </w:r>
          </w:p>
        </w:tc>
        <w:tc>
          <w:tcPr>
            <w:tcW w:w="949" w:type="dxa"/>
            <w:vAlign w:val="center"/>
            <w:hideMark/>
          </w:tcPr>
          <w:p w14:paraId="3ECB9676" w14:textId="436DD731" w:rsidR="00980E15" w:rsidRPr="005822EA" w:rsidRDefault="00980E15" w:rsidP="00980E15">
            <w:pPr>
              <w:pStyle w:val="Tabelid"/>
              <w:jc w:val="right"/>
              <w:cnfStyle w:val="000000000000" w:firstRow="0" w:lastRow="0" w:firstColumn="0" w:lastColumn="0" w:oddVBand="0" w:evenVBand="0" w:oddHBand="0" w:evenHBand="0" w:firstRowFirstColumn="0" w:firstRowLastColumn="0" w:lastRowFirstColumn="0" w:lastRowLastColumn="0"/>
            </w:pPr>
            <w:r w:rsidRPr="00980E15">
              <w:t>10,5</w:t>
            </w:r>
          </w:p>
        </w:tc>
        <w:tc>
          <w:tcPr>
            <w:tcW w:w="948" w:type="dxa"/>
            <w:vAlign w:val="center"/>
            <w:hideMark/>
          </w:tcPr>
          <w:p w14:paraId="2357EFEE" w14:textId="6204E965" w:rsidR="00980E15" w:rsidRPr="005822EA" w:rsidRDefault="00980E15" w:rsidP="00980E15">
            <w:pPr>
              <w:pStyle w:val="Tabelid"/>
              <w:jc w:val="right"/>
              <w:cnfStyle w:val="000000000000" w:firstRow="0" w:lastRow="0" w:firstColumn="0" w:lastColumn="0" w:oddVBand="0" w:evenVBand="0" w:oddHBand="0" w:evenHBand="0" w:firstRowFirstColumn="0" w:firstRowLastColumn="0" w:lastRowFirstColumn="0" w:lastRowLastColumn="0"/>
            </w:pPr>
            <w:r w:rsidRPr="00980E15">
              <w:t>1,9</w:t>
            </w:r>
          </w:p>
        </w:tc>
        <w:tc>
          <w:tcPr>
            <w:tcW w:w="949" w:type="dxa"/>
            <w:vAlign w:val="center"/>
            <w:hideMark/>
          </w:tcPr>
          <w:p w14:paraId="7F9C46BD" w14:textId="0CEC1E08" w:rsidR="00980E15" w:rsidRPr="005822EA" w:rsidRDefault="00980E15" w:rsidP="00980E15">
            <w:pPr>
              <w:pStyle w:val="Tabelid"/>
              <w:jc w:val="right"/>
              <w:cnfStyle w:val="000000000000" w:firstRow="0" w:lastRow="0" w:firstColumn="0" w:lastColumn="0" w:oddVBand="0" w:evenVBand="0" w:oddHBand="0" w:evenHBand="0" w:firstRowFirstColumn="0" w:firstRowLastColumn="0" w:lastRowFirstColumn="0" w:lastRowLastColumn="0"/>
            </w:pPr>
            <w:r w:rsidRPr="00980E15">
              <w:t>1,2</w:t>
            </w:r>
          </w:p>
        </w:tc>
        <w:tc>
          <w:tcPr>
            <w:tcW w:w="949" w:type="dxa"/>
            <w:vAlign w:val="center"/>
            <w:hideMark/>
          </w:tcPr>
          <w:p w14:paraId="2952B33A" w14:textId="5B3CC199" w:rsidR="00980E15" w:rsidRPr="005822EA" w:rsidRDefault="00980E15" w:rsidP="00980E15">
            <w:pPr>
              <w:pStyle w:val="Tabelid"/>
              <w:jc w:val="right"/>
              <w:cnfStyle w:val="000000000000" w:firstRow="0" w:lastRow="0" w:firstColumn="0" w:lastColumn="0" w:oddVBand="0" w:evenVBand="0" w:oddHBand="0" w:evenHBand="0" w:firstRowFirstColumn="0" w:firstRowLastColumn="0" w:lastRowFirstColumn="0" w:lastRowLastColumn="0"/>
            </w:pPr>
            <w:r w:rsidRPr="00980E15">
              <w:t>1,7</w:t>
            </w:r>
          </w:p>
        </w:tc>
        <w:tc>
          <w:tcPr>
            <w:tcW w:w="949" w:type="dxa"/>
            <w:vAlign w:val="center"/>
            <w:hideMark/>
          </w:tcPr>
          <w:p w14:paraId="64B28791" w14:textId="42D6D4E8" w:rsidR="00980E15" w:rsidRPr="005822EA" w:rsidRDefault="00980E15" w:rsidP="00980E15">
            <w:pPr>
              <w:pStyle w:val="Tabelid"/>
              <w:jc w:val="right"/>
              <w:cnfStyle w:val="000000000000" w:firstRow="0" w:lastRow="0" w:firstColumn="0" w:lastColumn="0" w:oddVBand="0" w:evenVBand="0" w:oddHBand="0" w:evenHBand="0" w:firstRowFirstColumn="0" w:firstRowLastColumn="0" w:lastRowFirstColumn="0" w:lastRowLastColumn="0"/>
            </w:pPr>
            <w:r w:rsidRPr="00980E15">
              <w:t>2,0</w:t>
            </w:r>
          </w:p>
        </w:tc>
      </w:tr>
      <w:tr w:rsidR="005D54E4" w:rsidRPr="005822EA" w14:paraId="5F914F3E" w14:textId="77777777" w:rsidTr="00980E1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330" w:type="dxa"/>
            <w:hideMark/>
          </w:tcPr>
          <w:p w14:paraId="33A40CE8" w14:textId="77777777" w:rsidR="005D54E4" w:rsidRPr="005822EA" w:rsidRDefault="005D54E4" w:rsidP="005D54E4">
            <w:pPr>
              <w:pStyle w:val="Tabelid"/>
            </w:pPr>
            <w:r w:rsidRPr="005822EA">
              <w:t>3. Harmoniseeritud tarbijahinnaindeks</w:t>
            </w:r>
          </w:p>
        </w:tc>
        <w:tc>
          <w:tcPr>
            <w:tcW w:w="1072" w:type="dxa"/>
            <w:vAlign w:val="center"/>
          </w:tcPr>
          <w:p w14:paraId="378FE12C" w14:textId="3F2F2110" w:rsidR="005D54E4" w:rsidRPr="005822EA"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980E15">
              <w:t>2,6</w:t>
            </w:r>
          </w:p>
        </w:tc>
        <w:tc>
          <w:tcPr>
            <w:tcW w:w="948" w:type="dxa"/>
            <w:vAlign w:val="center"/>
          </w:tcPr>
          <w:p w14:paraId="25BE1400" w14:textId="371D3EB9" w:rsidR="005D54E4" w:rsidRPr="005822EA"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980E15">
              <w:t>-0,6</w:t>
            </w:r>
          </w:p>
        </w:tc>
        <w:tc>
          <w:tcPr>
            <w:tcW w:w="949" w:type="dxa"/>
            <w:vAlign w:val="center"/>
            <w:hideMark/>
          </w:tcPr>
          <w:p w14:paraId="081214A0" w14:textId="1CC9F980" w:rsidR="005D54E4" w:rsidRPr="005822EA"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980E15">
              <w:t>4,5</w:t>
            </w:r>
          </w:p>
        </w:tc>
        <w:tc>
          <w:tcPr>
            <w:tcW w:w="949" w:type="dxa"/>
            <w:vAlign w:val="center"/>
            <w:hideMark/>
          </w:tcPr>
          <w:p w14:paraId="38AE02AF" w14:textId="31A76EB3" w:rsidR="005D54E4" w:rsidRPr="005822EA"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980E15">
              <w:t>12,4</w:t>
            </w:r>
          </w:p>
        </w:tc>
        <w:tc>
          <w:tcPr>
            <w:tcW w:w="948" w:type="dxa"/>
            <w:vAlign w:val="center"/>
            <w:hideMark/>
          </w:tcPr>
          <w:p w14:paraId="06A9D522" w14:textId="0252E3CC" w:rsidR="005D54E4" w:rsidRPr="005822EA"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980E15">
              <w:t>2,0</w:t>
            </w:r>
          </w:p>
        </w:tc>
        <w:tc>
          <w:tcPr>
            <w:tcW w:w="949" w:type="dxa"/>
            <w:vAlign w:val="center"/>
            <w:hideMark/>
          </w:tcPr>
          <w:p w14:paraId="3C623FDC" w14:textId="4649293D" w:rsidR="005D54E4" w:rsidRPr="005822EA"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980E15">
              <w:t>1,2</w:t>
            </w:r>
          </w:p>
        </w:tc>
        <w:tc>
          <w:tcPr>
            <w:tcW w:w="949" w:type="dxa"/>
            <w:vAlign w:val="center"/>
            <w:hideMark/>
          </w:tcPr>
          <w:p w14:paraId="2038B1D7" w14:textId="7E1E380F" w:rsidR="005D54E4" w:rsidRPr="005822EA"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980E15">
              <w:t>1,7</w:t>
            </w:r>
          </w:p>
        </w:tc>
        <w:tc>
          <w:tcPr>
            <w:tcW w:w="949" w:type="dxa"/>
            <w:vAlign w:val="center"/>
            <w:hideMark/>
          </w:tcPr>
          <w:p w14:paraId="3A0B538E" w14:textId="4ECE426A" w:rsidR="005D54E4" w:rsidRPr="005822EA"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980E15">
              <w:t>2,0</w:t>
            </w:r>
          </w:p>
        </w:tc>
      </w:tr>
      <w:tr w:rsidR="005D54E4" w:rsidRPr="005822EA" w14:paraId="5A4888FE" w14:textId="77777777" w:rsidTr="00980E15">
        <w:trPr>
          <w:trHeight w:val="300"/>
        </w:trPr>
        <w:tc>
          <w:tcPr>
            <w:cnfStyle w:val="001000000000" w:firstRow="0" w:lastRow="0" w:firstColumn="1" w:lastColumn="0" w:oddVBand="0" w:evenVBand="0" w:oddHBand="0" w:evenHBand="0" w:firstRowFirstColumn="0" w:firstRowLastColumn="0" w:lastRowFirstColumn="0" w:lastRowLastColumn="0"/>
            <w:tcW w:w="2330" w:type="dxa"/>
            <w:hideMark/>
          </w:tcPr>
          <w:p w14:paraId="6499E380" w14:textId="77777777" w:rsidR="005D54E4" w:rsidRPr="005822EA" w:rsidRDefault="005D54E4" w:rsidP="005D54E4">
            <w:pPr>
              <w:pStyle w:val="Tabelid"/>
            </w:pPr>
            <w:r w:rsidRPr="005822EA">
              <w:t>3a. Tarbijahinnaindeks</w:t>
            </w:r>
          </w:p>
        </w:tc>
        <w:tc>
          <w:tcPr>
            <w:tcW w:w="1072" w:type="dxa"/>
            <w:vAlign w:val="center"/>
          </w:tcPr>
          <w:p w14:paraId="7EB98781" w14:textId="6A93545A" w:rsidR="005D54E4" w:rsidRPr="005822EA"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980E15">
              <w:t>2,3</w:t>
            </w:r>
          </w:p>
        </w:tc>
        <w:tc>
          <w:tcPr>
            <w:tcW w:w="948" w:type="dxa"/>
            <w:vAlign w:val="center"/>
          </w:tcPr>
          <w:p w14:paraId="2E90502F" w14:textId="7C1340D5" w:rsidR="005D54E4" w:rsidRPr="005822EA"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980E15">
              <w:t>-0,4</w:t>
            </w:r>
          </w:p>
        </w:tc>
        <w:tc>
          <w:tcPr>
            <w:tcW w:w="949" w:type="dxa"/>
            <w:vAlign w:val="center"/>
            <w:hideMark/>
          </w:tcPr>
          <w:p w14:paraId="7160D956" w14:textId="07BC38FB" w:rsidR="005D54E4" w:rsidRPr="005822EA"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980E15">
              <w:t>4,6</w:t>
            </w:r>
          </w:p>
        </w:tc>
        <w:tc>
          <w:tcPr>
            <w:tcW w:w="949" w:type="dxa"/>
            <w:vAlign w:val="center"/>
            <w:hideMark/>
          </w:tcPr>
          <w:p w14:paraId="2B7EB646" w14:textId="4613BA0E" w:rsidR="005D54E4" w:rsidRPr="005822EA"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980E15">
              <w:t>12,7</w:t>
            </w:r>
          </w:p>
        </w:tc>
        <w:tc>
          <w:tcPr>
            <w:tcW w:w="948" w:type="dxa"/>
            <w:vAlign w:val="center"/>
            <w:hideMark/>
          </w:tcPr>
          <w:p w14:paraId="372362FD" w14:textId="047B9CB6" w:rsidR="005D54E4" w:rsidRPr="005822EA"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980E15">
              <w:t>2,1</w:t>
            </w:r>
          </w:p>
        </w:tc>
        <w:tc>
          <w:tcPr>
            <w:tcW w:w="949" w:type="dxa"/>
            <w:vAlign w:val="center"/>
            <w:hideMark/>
          </w:tcPr>
          <w:p w14:paraId="6399494B" w14:textId="13A78095" w:rsidR="005D54E4" w:rsidRPr="005822EA"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980E15">
              <w:t>1,2</w:t>
            </w:r>
          </w:p>
        </w:tc>
        <w:tc>
          <w:tcPr>
            <w:tcW w:w="949" w:type="dxa"/>
            <w:vAlign w:val="center"/>
            <w:hideMark/>
          </w:tcPr>
          <w:p w14:paraId="0A9DA3BB" w14:textId="4360C62B" w:rsidR="005D54E4" w:rsidRPr="005822EA"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980E15">
              <w:t>1,7</w:t>
            </w:r>
          </w:p>
        </w:tc>
        <w:tc>
          <w:tcPr>
            <w:tcW w:w="949" w:type="dxa"/>
            <w:vAlign w:val="center"/>
            <w:hideMark/>
          </w:tcPr>
          <w:p w14:paraId="5C9EFC79" w14:textId="618EB3FC" w:rsidR="005D54E4" w:rsidRPr="005822EA"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980E15">
              <w:t>2,0</w:t>
            </w:r>
          </w:p>
        </w:tc>
      </w:tr>
      <w:tr w:rsidR="00980E15" w:rsidRPr="005822EA" w14:paraId="74A64BE1" w14:textId="77777777" w:rsidTr="00980E1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330" w:type="dxa"/>
            <w:hideMark/>
          </w:tcPr>
          <w:p w14:paraId="2BBC6CB7" w14:textId="77777777" w:rsidR="00980E15" w:rsidRPr="005822EA" w:rsidRDefault="00980E15" w:rsidP="00980E15">
            <w:pPr>
              <w:pStyle w:val="Tabelid"/>
            </w:pPr>
            <w:r w:rsidRPr="005822EA">
              <w:t>4. Valitsussektori tarbimis</w:t>
            </w:r>
            <w:r w:rsidRPr="005822EA">
              <w:softHyphen/>
              <w:t>kulutuste deflaator</w:t>
            </w:r>
          </w:p>
        </w:tc>
        <w:tc>
          <w:tcPr>
            <w:tcW w:w="1072" w:type="dxa"/>
            <w:vAlign w:val="center"/>
          </w:tcPr>
          <w:p w14:paraId="76A3664B" w14:textId="77777777" w:rsidR="00980E15" w:rsidRPr="005822EA" w:rsidRDefault="00980E15" w:rsidP="00980E15">
            <w:pPr>
              <w:pStyle w:val="Tabelid"/>
              <w:jc w:val="right"/>
              <w:cnfStyle w:val="000000100000" w:firstRow="0" w:lastRow="0" w:firstColumn="0" w:lastColumn="0" w:oddVBand="0" w:evenVBand="0" w:oddHBand="1" w:evenHBand="0" w:firstRowFirstColumn="0" w:firstRowLastColumn="0" w:lastRowFirstColumn="0" w:lastRowLastColumn="0"/>
            </w:pPr>
            <w:r w:rsidRPr="005822EA">
              <w:t>4,8</w:t>
            </w:r>
          </w:p>
        </w:tc>
        <w:tc>
          <w:tcPr>
            <w:tcW w:w="948" w:type="dxa"/>
            <w:vAlign w:val="center"/>
          </w:tcPr>
          <w:p w14:paraId="759845D3" w14:textId="00E2CB3E" w:rsidR="00980E15" w:rsidRPr="005822EA" w:rsidRDefault="00980E15" w:rsidP="00980E15">
            <w:pPr>
              <w:pStyle w:val="Tabelid"/>
              <w:jc w:val="right"/>
              <w:cnfStyle w:val="000000100000" w:firstRow="0" w:lastRow="0" w:firstColumn="0" w:lastColumn="0" w:oddVBand="0" w:evenVBand="0" w:oddHBand="1" w:evenHBand="0" w:firstRowFirstColumn="0" w:firstRowLastColumn="0" w:lastRowFirstColumn="0" w:lastRowLastColumn="0"/>
            </w:pPr>
            <w:r w:rsidRPr="00980E15">
              <w:t>2,2</w:t>
            </w:r>
          </w:p>
        </w:tc>
        <w:tc>
          <w:tcPr>
            <w:tcW w:w="949" w:type="dxa"/>
            <w:vAlign w:val="center"/>
            <w:hideMark/>
          </w:tcPr>
          <w:p w14:paraId="6DBBB625" w14:textId="4E43C870" w:rsidR="00980E15" w:rsidRPr="005822EA" w:rsidRDefault="00980E15" w:rsidP="00980E15">
            <w:pPr>
              <w:pStyle w:val="Tabelid"/>
              <w:jc w:val="right"/>
              <w:cnfStyle w:val="000000100000" w:firstRow="0" w:lastRow="0" w:firstColumn="0" w:lastColumn="0" w:oddVBand="0" w:evenVBand="0" w:oddHBand="1" w:evenHBand="0" w:firstRowFirstColumn="0" w:firstRowLastColumn="0" w:lastRowFirstColumn="0" w:lastRowLastColumn="0"/>
            </w:pPr>
            <w:r w:rsidRPr="00980E15">
              <w:t>5,1</w:t>
            </w:r>
          </w:p>
        </w:tc>
        <w:tc>
          <w:tcPr>
            <w:tcW w:w="949" w:type="dxa"/>
            <w:vAlign w:val="center"/>
            <w:hideMark/>
          </w:tcPr>
          <w:p w14:paraId="5547AB71" w14:textId="11A1554E" w:rsidR="00980E15" w:rsidRPr="005822EA" w:rsidRDefault="00980E15" w:rsidP="00980E15">
            <w:pPr>
              <w:pStyle w:val="Tabelid"/>
              <w:jc w:val="right"/>
              <w:cnfStyle w:val="000000100000" w:firstRow="0" w:lastRow="0" w:firstColumn="0" w:lastColumn="0" w:oddVBand="0" w:evenVBand="0" w:oddHBand="1" w:evenHBand="0" w:firstRowFirstColumn="0" w:firstRowLastColumn="0" w:lastRowFirstColumn="0" w:lastRowLastColumn="0"/>
            </w:pPr>
            <w:r w:rsidRPr="00980E15">
              <w:t>5,7</w:t>
            </w:r>
          </w:p>
        </w:tc>
        <w:tc>
          <w:tcPr>
            <w:tcW w:w="948" w:type="dxa"/>
            <w:vAlign w:val="center"/>
            <w:hideMark/>
          </w:tcPr>
          <w:p w14:paraId="3988ED96" w14:textId="70C7A9FD" w:rsidR="00980E15" w:rsidRPr="005822EA" w:rsidRDefault="00980E15" w:rsidP="00980E15">
            <w:pPr>
              <w:pStyle w:val="Tabelid"/>
              <w:jc w:val="right"/>
              <w:cnfStyle w:val="000000100000" w:firstRow="0" w:lastRow="0" w:firstColumn="0" w:lastColumn="0" w:oddVBand="0" w:evenVBand="0" w:oddHBand="1" w:evenHBand="0" w:firstRowFirstColumn="0" w:firstRowLastColumn="0" w:lastRowFirstColumn="0" w:lastRowLastColumn="0"/>
            </w:pPr>
            <w:r w:rsidRPr="00980E15">
              <w:t>3,7</w:t>
            </w:r>
          </w:p>
        </w:tc>
        <w:tc>
          <w:tcPr>
            <w:tcW w:w="949" w:type="dxa"/>
            <w:vAlign w:val="center"/>
            <w:hideMark/>
          </w:tcPr>
          <w:p w14:paraId="550F5DAC" w14:textId="16B25ED6" w:rsidR="00980E15" w:rsidRPr="005822EA" w:rsidRDefault="00980E15" w:rsidP="00980E15">
            <w:pPr>
              <w:pStyle w:val="Tabelid"/>
              <w:jc w:val="right"/>
              <w:cnfStyle w:val="000000100000" w:firstRow="0" w:lastRow="0" w:firstColumn="0" w:lastColumn="0" w:oddVBand="0" w:evenVBand="0" w:oddHBand="1" w:evenHBand="0" w:firstRowFirstColumn="0" w:firstRowLastColumn="0" w:lastRowFirstColumn="0" w:lastRowLastColumn="0"/>
            </w:pPr>
            <w:r w:rsidRPr="00980E15">
              <w:t>4,0</w:t>
            </w:r>
          </w:p>
        </w:tc>
        <w:tc>
          <w:tcPr>
            <w:tcW w:w="949" w:type="dxa"/>
            <w:vAlign w:val="center"/>
            <w:hideMark/>
          </w:tcPr>
          <w:p w14:paraId="49896294" w14:textId="45AC16A0" w:rsidR="00980E15" w:rsidRPr="005822EA" w:rsidRDefault="00980E15" w:rsidP="00980E15">
            <w:pPr>
              <w:pStyle w:val="Tabelid"/>
              <w:jc w:val="right"/>
              <w:cnfStyle w:val="000000100000" w:firstRow="0" w:lastRow="0" w:firstColumn="0" w:lastColumn="0" w:oddVBand="0" w:evenVBand="0" w:oddHBand="1" w:evenHBand="0" w:firstRowFirstColumn="0" w:firstRowLastColumn="0" w:lastRowFirstColumn="0" w:lastRowLastColumn="0"/>
            </w:pPr>
            <w:r w:rsidRPr="00980E15">
              <w:t>3,9</w:t>
            </w:r>
          </w:p>
        </w:tc>
        <w:tc>
          <w:tcPr>
            <w:tcW w:w="949" w:type="dxa"/>
            <w:vAlign w:val="center"/>
            <w:hideMark/>
          </w:tcPr>
          <w:p w14:paraId="3697B277" w14:textId="17C73359" w:rsidR="00980E15" w:rsidRPr="005822EA" w:rsidRDefault="00980E15" w:rsidP="00980E15">
            <w:pPr>
              <w:pStyle w:val="Tabelid"/>
              <w:jc w:val="right"/>
              <w:cnfStyle w:val="000000100000" w:firstRow="0" w:lastRow="0" w:firstColumn="0" w:lastColumn="0" w:oddVBand="0" w:evenVBand="0" w:oddHBand="1" w:evenHBand="0" w:firstRowFirstColumn="0" w:firstRowLastColumn="0" w:lastRowFirstColumn="0" w:lastRowLastColumn="0"/>
            </w:pPr>
            <w:r w:rsidRPr="00980E15">
              <w:t>3,0</w:t>
            </w:r>
          </w:p>
        </w:tc>
      </w:tr>
      <w:tr w:rsidR="00980E15" w:rsidRPr="005822EA" w14:paraId="198683BD" w14:textId="77777777" w:rsidTr="00980E15">
        <w:trPr>
          <w:trHeight w:val="300"/>
        </w:trPr>
        <w:tc>
          <w:tcPr>
            <w:cnfStyle w:val="001000000000" w:firstRow="0" w:lastRow="0" w:firstColumn="1" w:lastColumn="0" w:oddVBand="0" w:evenVBand="0" w:oddHBand="0" w:evenHBand="0" w:firstRowFirstColumn="0" w:firstRowLastColumn="0" w:lastRowFirstColumn="0" w:lastRowLastColumn="0"/>
            <w:tcW w:w="2330" w:type="dxa"/>
            <w:hideMark/>
          </w:tcPr>
          <w:p w14:paraId="2AB9EFF9" w14:textId="77777777" w:rsidR="00980E15" w:rsidRPr="005822EA" w:rsidRDefault="00980E15" w:rsidP="00980E15">
            <w:pPr>
              <w:pStyle w:val="Tabelid"/>
            </w:pPr>
            <w:r w:rsidRPr="005822EA">
              <w:t>5. Investeeringute deflaator</w:t>
            </w:r>
          </w:p>
        </w:tc>
        <w:tc>
          <w:tcPr>
            <w:tcW w:w="1072" w:type="dxa"/>
            <w:vAlign w:val="center"/>
          </w:tcPr>
          <w:p w14:paraId="3A37F967" w14:textId="77777777" w:rsidR="00980E15" w:rsidRPr="005822EA" w:rsidRDefault="00980E15" w:rsidP="00980E15">
            <w:pPr>
              <w:pStyle w:val="Tabelid"/>
              <w:jc w:val="right"/>
              <w:cnfStyle w:val="000000000000" w:firstRow="0" w:lastRow="0" w:firstColumn="0" w:lastColumn="0" w:oddVBand="0" w:evenVBand="0" w:oddHBand="0" w:evenHBand="0" w:firstRowFirstColumn="0" w:firstRowLastColumn="0" w:lastRowFirstColumn="0" w:lastRowLastColumn="0"/>
            </w:pPr>
            <w:r w:rsidRPr="005822EA">
              <w:t>2,2</w:t>
            </w:r>
          </w:p>
        </w:tc>
        <w:tc>
          <w:tcPr>
            <w:tcW w:w="948" w:type="dxa"/>
            <w:vAlign w:val="center"/>
          </w:tcPr>
          <w:p w14:paraId="1067A502" w14:textId="3F29A067" w:rsidR="00980E15" w:rsidRPr="005822EA" w:rsidRDefault="00980E15" w:rsidP="00980E15">
            <w:pPr>
              <w:pStyle w:val="Tabelid"/>
              <w:jc w:val="right"/>
              <w:cnfStyle w:val="000000000000" w:firstRow="0" w:lastRow="0" w:firstColumn="0" w:lastColumn="0" w:oddVBand="0" w:evenVBand="0" w:oddHBand="0" w:evenHBand="0" w:firstRowFirstColumn="0" w:firstRowLastColumn="0" w:lastRowFirstColumn="0" w:lastRowLastColumn="0"/>
            </w:pPr>
            <w:r w:rsidRPr="00980E15">
              <w:t>-2,7</w:t>
            </w:r>
          </w:p>
        </w:tc>
        <w:tc>
          <w:tcPr>
            <w:tcW w:w="949" w:type="dxa"/>
            <w:vAlign w:val="center"/>
            <w:hideMark/>
          </w:tcPr>
          <w:p w14:paraId="7332073A" w14:textId="599A5F4E" w:rsidR="00980E15" w:rsidRPr="005822EA" w:rsidRDefault="00980E15" w:rsidP="00980E15">
            <w:pPr>
              <w:pStyle w:val="Tabelid"/>
              <w:jc w:val="right"/>
              <w:cnfStyle w:val="000000000000" w:firstRow="0" w:lastRow="0" w:firstColumn="0" w:lastColumn="0" w:oddVBand="0" w:evenVBand="0" w:oddHBand="0" w:evenHBand="0" w:firstRowFirstColumn="0" w:firstRowLastColumn="0" w:lastRowFirstColumn="0" w:lastRowLastColumn="0"/>
            </w:pPr>
            <w:r w:rsidRPr="00980E15">
              <w:t>3,1</w:t>
            </w:r>
          </w:p>
        </w:tc>
        <w:tc>
          <w:tcPr>
            <w:tcW w:w="949" w:type="dxa"/>
            <w:vAlign w:val="center"/>
            <w:hideMark/>
          </w:tcPr>
          <w:p w14:paraId="614C438A" w14:textId="49FC9297" w:rsidR="00980E15" w:rsidRPr="005822EA" w:rsidRDefault="00980E15" w:rsidP="00980E15">
            <w:pPr>
              <w:pStyle w:val="Tabelid"/>
              <w:jc w:val="right"/>
              <w:cnfStyle w:val="000000000000" w:firstRow="0" w:lastRow="0" w:firstColumn="0" w:lastColumn="0" w:oddVBand="0" w:evenVBand="0" w:oddHBand="0" w:evenHBand="0" w:firstRowFirstColumn="0" w:firstRowLastColumn="0" w:lastRowFirstColumn="0" w:lastRowLastColumn="0"/>
            </w:pPr>
            <w:r w:rsidRPr="00980E15">
              <w:t>7,0</w:t>
            </w:r>
          </w:p>
        </w:tc>
        <w:tc>
          <w:tcPr>
            <w:tcW w:w="948" w:type="dxa"/>
            <w:vAlign w:val="center"/>
            <w:hideMark/>
          </w:tcPr>
          <w:p w14:paraId="45C7EE8F" w14:textId="37E3767A" w:rsidR="00980E15" w:rsidRPr="005822EA" w:rsidRDefault="00980E15" w:rsidP="00980E15">
            <w:pPr>
              <w:pStyle w:val="Tabelid"/>
              <w:jc w:val="right"/>
              <w:cnfStyle w:val="000000000000" w:firstRow="0" w:lastRow="0" w:firstColumn="0" w:lastColumn="0" w:oddVBand="0" w:evenVBand="0" w:oddHBand="0" w:evenHBand="0" w:firstRowFirstColumn="0" w:firstRowLastColumn="0" w:lastRowFirstColumn="0" w:lastRowLastColumn="0"/>
            </w:pPr>
            <w:r w:rsidRPr="00980E15">
              <w:t>2,3</w:t>
            </w:r>
          </w:p>
        </w:tc>
        <w:tc>
          <w:tcPr>
            <w:tcW w:w="949" w:type="dxa"/>
            <w:vAlign w:val="center"/>
            <w:hideMark/>
          </w:tcPr>
          <w:p w14:paraId="2217AD3B" w14:textId="6ADC9C54" w:rsidR="00980E15" w:rsidRPr="005822EA" w:rsidRDefault="00980E15" w:rsidP="00980E15">
            <w:pPr>
              <w:pStyle w:val="Tabelid"/>
              <w:jc w:val="right"/>
              <w:cnfStyle w:val="000000000000" w:firstRow="0" w:lastRow="0" w:firstColumn="0" w:lastColumn="0" w:oddVBand="0" w:evenVBand="0" w:oddHBand="0" w:evenHBand="0" w:firstRowFirstColumn="0" w:firstRowLastColumn="0" w:lastRowFirstColumn="0" w:lastRowLastColumn="0"/>
            </w:pPr>
            <w:r w:rsidRPr="00980E15">
              <w:t>2,1</w:t>
            </w:r>
          </w:p>
        </w:tc>
        <w:tc>
          <w:tcPr>
            <w:tcW w:w="949" w:type="dxa"/>
            <w:vAlign w:val="center"/>
            <w:hideMark/>
          </w:tcPr>
          <w:p w14:paraId="015D7CA4" w14:textId="6665C944" w:rsidR="00980E15" w:rsidRPr="005822EA" w:rsidRDefault="00980E15" w:rsidP="00980E15">
            <w:pPr>
              <w:pStyle w:val="Tabelid"/>
              <w:jc w:val="right"/>
              <w:cnfStyle w:val="000000000000" w:firstRow="0" w:lastRow="0" w:firstColumn="0" w:lastColumn="0" w:oddVBand="0" w:evenVBand="0" w:oddHBand="0" w:evenHBand="0" w:firstRowFirstColumn="0" w:firstRowLastColumn="0" w:lastRowFirstColumn="0" w:lastRowLastColumn="0"/>
            </w:pPr>
            <w:r w:rsidRPr="00980E15">
              <w:t>2,0</w:t>
            </w:r>
          </w:p>
        </w:tc>
        <w:tc>
          <w:tcPr>
            <w:tcW w:w="949" w:type="dxa"/>
            <w:vAlign w:val="center"/>
            <w:hideMark/>
          </w:tcPr>
          <w:p w14:paraId="7A8348A3" w14:textId="63DB502B" w:rsidR="00980E15" w:rsidRPr="005822EA" w:rsidRDefault="00980E15" w:rsidP="00980E15">
            <w:pPr>
              <w:pStyle w:val="Tabelid"/>
              <w:jc w:val="right"/>
              <w:cnfStyle w:val="000000000000" w:firstRow="0" w:lastRow="0" w:firstColumn="0" w:lastColumn="0" w:oddVBand="0" w:evenVBand="0" w:oddHBand="0" w:evenHBand="0" w:firstRowFirstColumn="0" w:firstRowLastColumn="0" w:lastRowFirstColumn="0" w:lastRowLastColumn="0"/>
            </w:pPr>
            <w:r w:rsidRPr="00980E15">
              <w:t>2,0</w:t>
            </w:r>
          </w:p>
        </w:tc>
      </w:tr>
      <w:tr w:rsidR="00980E15" w:rsidRPr="005822EA" w14:paraId="6292BC54" w14:textId="77777777" w:rsidTr="00980E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0" w:type="dxa"/>
            <w:hideMark/>
          </w:tcPr>
          <w:p w14:paraId="5878A5AD" w14:textId="77777777" w:rsidR="00980E15" w:rsidRPr="005822EA" w:rsidRDefault="00980E15" w:rsidP="00980E15">
            <w:pPr>
              <w:pStyle w:val="Tabelid"/>
            </w:pPr>
            <w:r w:rsidRPr="005822EA">
              <w:t>6. Ekspordi deflaator</w:t>
            </w:r>
          </w:p>
        </w:tc>
        <w:tc>
          <w:tcPr>
            <w:tcW w:w="1072" w:type="dxa"/>
            <w:vAlign w:val="center"/>
          </w:tcPr>
          <w:p w14:paraId="2778CAA5" w14:textId="4B9AB7FE" w:rsidR="00980E15" w:rsidRPr="005822EA" w:rsidRDefault="00980E15" w:rsidP="00980E15">
            <w:pPr>
              <w:pStyle w:val="Tabelid"/>
              <w:jc w:val="right"/>
              <w:cnfStyle w:val="000000100000" w:firstRow="0" w:lastRow="0" w:firstColumn="0" w:lastColumn="0" w:oddVBand="0" w:evenVBand="0" w:oddHBand="1" w:evenHBand="0" w:firstRowFirstColumn="0" w:firstRowLastColumn="0" w:lastRowFirstColumn="0" w:lastRowLastColumn="0"/>
            </w:pPr>
            <w:r w:rsidRPr="005822EA">
              <w:t>1,</w:t>
            </w:r>
            <w:r>
              <w:t>4</w:t>
            </w:r>
          </w:p>
        </w:tc>
        <w:tc>
          <w:tcPr>
            <w:tcW w:w="948" w:type="dxa"/>
            <w:vAlign w:val="center"/>
          </w:tcPr>
          <w:p w14:paraId="6002EBE3" w14:textId="23676CF2" w:rsidR="00980E15" w:rsidRPr="005822EA" w:rsidRDefault="00980E15" w:rsidP="00980E15">
            <w:pPr>
              <w:pStyle w:val="Tabelid"/>
              <w:jc w:val="right"/>
              <w:cnfStyle w:val="000000100000" w:firstRow="0" w:lastRow="0" w:firstColumn="0" w:lastColumn="0" w:oddVBand="0" w:evenVBand="0" w:oddHBand="1" w:evenHBand="0" w:firstRowFirstColumn="0" w:firstRowLastColumn="0" w:lastRowFirstColumn="0" w:lastRowLastColumn="0"/>
            </w:pPr>
            <w:r w:rsidRPr="00980E15">
              <w:t>-2,1</w:t>
            </w:r>
          </w:p>
        </w:tc>
        <w:tc>
          <w:tcPr>
            <w:tcW w:w="949" w:type="dxa"/>
            <w:vAlign w:val="center"/>
            <w:hideMark/>
          </w:tcPr>
          <w:p w14:paraId="6B205C66" w14:textId="7B6E15C6" w:rsidR="00980E15" w:rsidRPr="005822EA" w:rsidRDefault="00980E15" w:rsidP="00980E15">
            <w:pPr>
              <w:pStyle w:val="Tabelid"/>
              <w:jc w:val="right"/>
              <w:cnfStyle w:val="000000100000" w:firstRow="0" w:lastRow="0" w:firstColumn="0" w:lastColumn="0" w:oddVBand="0" w:evenVBand="0" w:oddHBand="1" w:evenHBand="0" w:firstRowFirstColumn="0" w:firstRowLastColumn="0" w:lastRowFirstColumn="0" w:lastRowLastColumn="0"/>
            </w:pPr>
            <w:r w:rsidRPr="00980E15">
              <w:t>7,9</w:t>
            </w:r>
          </w:p>
        </w:tc>
        <w:tc>
          <w:tcPr>
            <w:tcW w:w="949" w:type="dxa"/>
            <w:vAlign w:val="center"/>
            <w:hideMark/>
          </w:tcPr>
          <w:p w14:paraId="53859556" w14:textId="26ED7B6A" w:rsidR="00980E15" w:rsidRPr="005822EA" w:rsidRDefault="00980E15" w:rsidP="00980E15">
            <w:pPr>
              <w:pStyle w:val="Tabelid"/>
              <w:jc w:val="right"/>
              <w:cnfStyle w:val="000000100000" w:firstRow="0" w:lastRow="0" w:firstColumn="0" w:lastColumn="0" w:oddVBand="0" w:evenVBand="0" w:oddHBand="1" w:evenHBand="0" w:firstRowFirstColumn="0" w:firstRowLastColumn="0" w:lastRowFirstColumn="0" w:lastRowLastColumn="0"/>
            </w:pPr>
            <w:r w:rsidRPr="00980E15">
              <w:t>11,3</w:t>
            </w:r>
          </w:p>
        </w:tc>
        <w:tc>
          <w:tcPr>
            <w:tcW w:w="948" w:type="dxa"/>
            <w:vAlign w:val="center"/>
            <w:hideMark/>
          </w:tcPr>
          <w:p w14:paraId="46BEEDD1" w14:textId="5E10D109" w:rsidR="00980E15" w:rsidRPr="005822EA" w:rsidRDefault="00980E15" w:rsidP="00980E15">
            <w:pPr>
              <w:pStyle w:val="Tabelid"/>
              <w:jc w:val="right"/>
              <w:cnfStyle w:val="000000100000" w:firstRow="0" w:lastRow="0" w:firstColumn="0" w:lastColumn="0" w:oddVBand="0" w:evenVBand="0" w:oddHBand="1" w:evenHBand="0" w:firstRowFirstColumn="0" w:firstRowLastColumn="0" w:lastRowFirstColumn="0" w:lastRowLastColumn="0"/>
            </w:pPr>
            <w:r w:rsidRPr="00980E15">
              <w:t>2,5</w:t>
            </w:r>
          </w:p>
        </w:tc>
        <w:tc>
          <w:tcPr>
            <w:tcW w:w="949" w:type="dxa"/>
            <w:vAlign w:val="center"/>
            <w:hideMark/>
          </w:tcPr>
          <w:p w14:paraId="25B64225" w14:textId="3EBCEA4F" w:rsidR="00980E15" w:rsidRPr="005822EA" w:rsidRDefault="00980E15" w:rsidP="00980E15">
            <w:pPr>
              <w:pStyle w:val="Tabelid"/>
              <w:jc w:val="right"/>
              <w:cnfStyle w:val="000000100000" w:firstRow="0" w:lastRow="0" w:firstColumn="0" w:lastColumn="0" w:oddVBand="0" w:evenVBand="0" w:oddHBand="1" w:evenHBand="0" w:firstRowFirstColumn="0" w:firstRowLastColumn="0" w:lastRowFirstColumn="0" w:lastRowLastColumn="0"/>
            </w:pPr>
            <w:r w:rsidRPr="00980E15">
              <w:t>2,0</w:t>
            </w:r>
          </w:p>
        </w:tc>
        <w:tc>
          <w:tcPr>
            <w:tcW w:w="949" w:type="dxa"/>
            <w:vAlign w:val="center"/>
            <w:hideMark/>
          </w:tcPr>
          <w:p w14:paraId="5C144966" w14:textId="70601202" w:rsidR="00980E15" w:rsidRPr="005822EA" w:rsidRDefault="00980E15" w:rsidP="00980E15">
            <w:pPr>
              <w:pStyle w:val="Tabelid"/>
              <w:jc w:val="right"/>
              <w:cnfStyle w:val="000000100000" w:firstRow="0" w:lastRow="0" w:firstColumn="0" w:lastColumn="0" w:oddVBand="0" w:evenVBand="0" w:oddHBand="1" w:evenHBand="0" w:firstRowFirstColumn="0" w:firstRowLastColumn="0" w:lastRowFirstColumn="0" w:lastRowLastColumn="0"/>
            </w:pPr>
            <w:r w:rsidRPr="00980E15">
              <w:t>1,9</w:t>
            </w:r>
          </w:p>
        </w:tc>
        <w:tc>
          <w:tcPr>
            <w:tcW w:w="949" w:type="dxa"/>
            <w:vAlign w:val="center"/>
            <w:hideMark/>
          </w:tcPr>
          <w:p w14:paraId="1150C498" w14:textId="7A92ED6B" w:rsidR="00980E15" w:rsidRPr="005822EA" w:rsidRDefault="00980E15" w:rsidP="00980E15">
            <w:pPr>
              <w:pStyle w:val="Tabelid"/>
              <w:jc w:val="right"/>
              <w:cnfStyle w:val="000000100000" w:firstRow="0" w:lastRow="0" w:firstColumn="0" w:lastColumn="0" w:oddVBand="0" w:evenVBand="0" w:oddHBand="1" w:evenHBand="0" w:firstRowFirstColumn="0" w:firstRowLastColumn="0" w:lastRowFirstColumn="0" w:lastRowLastColumn="0"/>
            </w:pPr>
            <w:r w:rsidRPr="00980E15">
              <w:t>2,0</w:t>
            </w:r>
          </w:p>
        </w:tc>
      </w:tr>
      <w:tr w:rsidR="00980E15" w:rsidRPr="005822EA" w14:paraId="5CD40ED5" w14:textId="77777777" w:rsidTr="00980E15">
        <w:trPr>
          <w:trHeight w:val="300"/>
        </w:trPr>
        <w:tc>
          <w:tcPr>
            <w:cnfStyle w:val="001000000000" w:firstRow="0" w:lastRow="0" w:firstColumn="1" w:lastColumn="0" w:oddVBand="0" w:evenVBand="0" w:oddHBand="0" w:evenHBand="0" w:firstRowFirstColumn="0" w:firstRowLastColumn="0" w:lastRowFirstColumn="0" w:lastRowLastColumn="0"/>
            <w:tcW w:w="2330" w:type="dxa"/>
            <w:hideMark/>
          </w:tcPr>
          <w:p w14:paraId="324FDCCD" w14:textId="77777777" w:rsidR="00980E15" w:rsidRPr="005822EA" w:rsidRDefault="00980E15" w:rsidP="00980E15">
            <w:pPr>
              <w:pStyle w:val="Tabelid"/>
            </w:pPr>
            <w:r w:rsidRPr="005822EA">
              <w:t>7. Impordi deflaator</w:t>
            </w:r>
          </w:p>
        </w:tc>
        <w:tc>
          <w:tcPr>
            <w:tcW w:w="1072" w:type="dxa"/>
            <w:vAlign w:val="center"/>
          </w:tcPr>
          <w:p w14:paraId="3CD668BC" w14:textId="51D7C4E2" w:rsidR="00980E15" w:rsidRPr="005822EA" w:rsidRDefault="00980E15" w:rsidP="00980E15">
            <w:pPr>
              <w:pStyle w:val="Tabelid"/>
              <w:jc w:val="right"/>
              <w:cnfStyle w:val="000000000000" w:firstRow="0" w:lastRow="0" w:firstColumn="0" w:lastColumn="0" w:oddVBand="0" w:evenVBand="0" w:oddHBand="0" w:evenHBand="0" w:firstRowFirstColumn="0" w:firstRowLastColumn="0" w:lastRowFirstColumn="0" w:lastRowLastColumn="0"/>
            </w:pPr>
            <w:r w:rsidRPr="005822EA">
              <w:t>1,</w:t>
            </w:r>
            <w:r>
              <w:t>0</w:t>
            </w:r>
          </w:p>
        </w:tc>
        <w:tc>
          <w:tcPr>
            <w:tcW w:w="948" w:type="dxa"/>
            <w:vAlign w:val="center"/>
          </w:tcPr>
          <w:p w14:paraId="087CB9FC" w14:textId="170561CC" w:rsidR="00980E15" w:rsidRPr="005822EA" w:rsidRDefault="00980E15" w:rsidP="00980E15">
            <w:pPr>
              <w:pStyle w:val="Tabelid"/>
              <w:jc w:val="right"/>
              <w:cnfStyle w:val="000000000000" w:firstRow="0" w:lastRow="0" w:firstColumn="0" w:lastColumn="0" w:oddVBand="0" w:evenVBand="0" w:oddHBand="0" w:evenHBand="0" w:firstRowFirstColumn="0" w:firstRowLastColumn="0" w:lastRowFirstColumn="0" w:lastRowLastColumn="0"/>
            </w:pPr>
            <w:r w:rsidRPr="00980E15">
              <w:t>-3,0</w:t>
            </w:r>
          </w:p>
        </w:tc>
        <w:tc>
          <w:tcPr>
            <w:tcW w:w="949" w:type="dxa"/>
            <w:vAlign w:val="center"/>
            <w:hideMark/>
          </w:tcPr>
          <w:p w14:paraId="33F7A92D" w14:textId="505CECC2" w:rsidR="00980E15" w:rsidRPr="005822EA" w:rsidRDefault="00980E15" w:rsidP="00980E15">
            <w:pPr>
              <w:pStyle w:val="Tabelid"/>
              <w:jc w:val="right"/>
              <w:cnfStyle w:val="000000000000" w:firstRow="0" w:lastRow="0" w:firstColumn="0" w:lastColumn="0" w:oddVBand="0" w:evenVBand="0" w:oddHBand="0" w:evenHBand="0" w:firstRowFirstColumn="0" w:firstRowLastColumn="0" w:lastRowFirstColumn="0" w:lastRowLastColumn="0"/>
            </w:pPr>
            <w:r w:rsidRPr="00980E15">
              <w:t>7,7</w:t>
            </w:r>
          </w:p>
        </w:tc>
        <w:tc>
          <w:tcPr>
            <w:tcW w:w="949" w:type="dxa"/>
            <w:vAlign w:val="center"/>
            <w:hideMark/>
          </w:tcPr>
          <w:p w14:paraId="3F21F8C4" w14:textId="7C3BFE2F" w:rsidR="00980E15" w:rsidRPr="005822EA" w:rsidRDefault="00980E15" w:rsidP="00980E15">
            <w:pPr>
              <w:pStyle w:val="Tabelid"/>
              <w:jc w:val="right"/>
              <w:cnfStyle w:val="000000000000" w:firstRow="0" w:lastRow="0" w:firstColumn="0" w:lastColumn="0" w:oddVBand="0" w:evenVBand="0" w:oddHBand="0" w:evenHBand="0" w:firstRowFirstColumn="0" w:firstRowLastColumn="0" w:lastRowFirstColumn="0" w:lastRowLastColumn="0"/>
            </w:pPr>
            <w:r w:rsidRPr="00980E15">
              <w:t>12,0</w:t>
            </w:r>
          </w:p>
        </w:tc>
        <w:tc>
          <w:tcPr>
            <w:tcW w:w="948" w:type="dxa"/>
            <w:vAlign w:val="center"/>
            <w:hideMark/>
          </w:tcPr>
          <w:p w14:paraId="155153BE" w14:textId="4470ADA5" w:rsidR="00980E15" w:rsidRPr="005822EA" w:rsidRDefault="00980E15" w:rsidP="00980E15">
            <w:pPr>
              <w:pStyle w:val="Tabelid"/>
              <w:jc w:val="right"/>
              <w:cnfStyle w:val="000000000000" w:firstRow="0" w:lastRow="0" w:firstColumn="0" w:lastColumn="0" w:oddVBand="0" w:evenVBand="0" w:oddHBand="0" w:evenHBand="0" w:firstRowFirstColumn="0" w:firstRowLastColumn="0" w:lastRowFirstColumn="0" w:lastRowLastColumn="0"/>
            </w:pPr>
            <w:r w:rsidRPr="00980E15">
              <w:t>2,4</w:t>
            </w:r>
          </w:p>
        </w:tc>
        <w:tc>
          <w:tcPr>
            <w:tcW w:w="949" w:type="dxa"/>
            <w:vAlign w:val="center"/>
            <w:hideMark/>
          </w:tcPr>
          <w:p w14:paraId="6C066003" w14:textId="0910BAA3" w:rsidR="00980E15" w:rsidRPr="005822EA" w:rsidRDefault="00980E15" w:rsidP="00980E15">
            <w:pPr>
              <w:pStyle w:val="Tabelid"/>
              <w:jc w:val="right"/>
              <w:cnfStyle w:val="000000000000" w:firstRow="0" w:lastRow="0" w:firstColumn="0" w:lastColumn="0" w:oddVBand="0" w:evenVBand="0" w:oddHBand="0" w:evenHBand="0" w:firstRowFirstColumn="0" w:firstRowLastColumn="0" w:lastRowFirstColumn="0" w:lastRowLastColumn="0"/>
            </w:pPr>
            <w:r w:rsidRPr="00980E15">
              <w:t>2,1</w:t>
            </w:r>
          </w:p>
        </w:tc>
        <w:tc>
          <w:tcPr>
            <w:tcW w:w="949" w:type="dxa"/>
            <w:vAlign w:val="center"/>
            <w:hideMark/>
          </w:tcPr>
          <w:p w14:paraId="4B9E3193" w14:textId="37006BAC" w:rsidR="00980E15" w:rsidRPr="005822EA" w:rsidRDefault="00980E15" w:rsidP="00980E15">
            <w:pPr>
              <w:pStyle w:val="Tabelid"/>
              <w:jc w:val="right"/>
              <w:cnfStyle w:val="000000000000" w:firstRow="0" w:lastRow="0" w:firstColumn="0" w:lastColumn="0" w:oddVBand="0" w:evenVBand="0" w:oddHBand="0" w:evenHBand="0" w:firstRowFirstColumn="0" w:firstRowLastColumn="0" w:lastRowFirstColumn="0" w:lastRowLastColumn="0"/>
            </w:pPr>
            <w:r w:rsidRPr="00980E15">
              <w:t>2,1</w:t>
            </w:r>
          </w:p>
        </w:tc>
        <w:tc>
          <w:tcPr>
            <w:tcW w:w="949" w:type="dxa"/>
            <w:vAlign w:val="center"/>
            <w:hideMark/>
          </w:tcPr>
          <w:p w14:paraId="0EE0B031" w14:textId="077681DA" w:rsidR="00980E15" w:rsidRPr="005822EA" w:rsidRDefault="00980E15" w:rsidP="00980E15">
            <w:pPr>
              <w:pStyle w:val="Tabelid"/>
              <w:jc w:val="right"/>
              <w:cnfStyle w:val="000000000000" w:firstRow="0" w:lastRow="0" w:firstColumn="0" w:lastColumn="0" w:oddVBand="0" w:evenVBand="0" w:oddHBand="0" w:evenHBand="0" w:firstRowFirstColumn="0" w:firstRowLastColumn="0" w:lastRowFirstColumn="0" w:lastRowLastColumn="0"/>
            </w:pPr>
            <w:r w:rsidRPr="00980E15">
              <w:t>1,9</w:t>
            </w:r>
          </w:p>
        </w:tc>
      </w:tr>
    </w:tbl>
    <w:p w14:paraId="4E49E2B6" w14:textId="667C4861" w:rsidR="00831AD9" w:rsidRDefault="00831AD9" w:rsidP="00831AD9">
      <w:pPr>
        <w:pStyle w:val="Phitekst"/>
        <w:rPr>
          <w:highlight w:val="yellow"/>
        </w:rPr>
      </w:pPr>
    </w:p>
    <w:p w14:paraId="48F198DD" w14:textId="77823823" w:rsidR="005C246A" w:rsidRDefault="005C246A" w:rsidP="00831AD9">
      <w:pPr>
        <w:pStyle w:val="Phitekst"/>
        <w:rPr>
          <w:highlight w:val="yellow"/>
        </w:rPr>
      </w:pPr>
    </w:p>
    <w:p w14:paraId="59B09F75" w14:textId="5A7AE732" w:rsidR="005C246A" w:rsidRDefault="005C246A" w:rsidP="00831AD9">
      <w:pPr>
        <w:pStyle w:val="Phitekst"/>
        <w:rPr>
          <w:highlight w:val="yellow"/>
        </w:rPr>
      </w:pPr>
    </w:p>
    <w:p w14:paraId="380449E6" w14:textId="77777777" w:rsidR="005C246A" w:rsidRPr="005822EA" w:rsidRDefault="005C246A" w:rsidP="00831AD9">
      <w:pPr>
        <w:pStyle w:val="Phitekst"/>
        <w:rPr>
          <w:highlight w:val="yellow"/>
        </w:rPr>
      </w:pPr>
    </w:p>
    <w:p w14:paraId="038B3816" w14:textId="25B0DB0C" w:rsidR="00831AD9" w:rsidRPr="007A2CD1" w:rsidRDefault="00831AD9" w:rsidP="00E54FF2">
      <w:pPr>
        <w:pStyle w:val="Pealdis"/>
      </w:pPr>
      <w:bookmarkStart w:id="167" w:name="_Ref511149075"/>
      <w:bookmarkStart w:id="168" w:name="_Ref511149082"/>
      <w:bookmarkStart w:id="169" w:name="_Toc511374599"/>
      <w:bookmarkStart w:id="170" w:name="_Toc4502667"/>
      <w:bookmarkStart w:id="171" w:name="_Toc100230292"/>
      <w:r w:rsidRPr="00E54FF2">
        <w:lastRenderedPageBreak/>
        <w:t xml:space="preserve">Tabel </w:t>
      </w:r>
      <w:fldSimple w:instr=" SEQ Tabel \* ARABIC ">
        <w:r w:rsidR="000C04EE">
          <w:rPr>
            <w:noProof/>
          </w:rPr>
          <w:t>7</w:t>
        </w:r>
      </w:fldSimple>
      <w:r w:rsidRPr="00E54FF2">
        <w:t>. Tööturu prognoos 202</w:t>
      </w:r>
      <w:r w:rsidR="005D54E4">
        <w:t>2</w:t>
      </w:r>
      <w:r w:rsidRPr="00E54FF2">
        <w:t>–202</w:t>
      </w:r>
      <w:r w:rsidR="005D54E4">
        <w:t>6</w:t>
      </w:r>
      <w:r w:rsidRPr="00E54FF2">
        <w:t xml:space="preserve"> (15–74-</w:t>
      </w:r>
      <w:r w:rsidRPr="007A2CD1">
        <w:t>aastased)</w:t>
      </w:r>
      <w:bookmarkEnd w:id="167"/>
      <w:bookmarkEnd w:id="168"/>
      <w:bookmarkEnd w:id="169"/>
      <w:bookmarkEnd w:id="170"/>
      <w:bookmarkEnd w:id="171"/>
    </w:p>
    <w:tbl>
      <w:tblPr>
        <w:tblStyle w:val="Peentabel1"/>
        <w:tblW w:w="10376" w:type="dxa"/>
        <w:tblLayout w:type="fixed"/>
        <w:tblLook w:val="00A0" w:firstRow="1" w:lastRow="0" w:firstColumn="1" w:lastColumn="0" w:noHBand="0" w:noVBand="0"/>
      </w:tblPr>
      <w:tblGrid>
        <w:gridCol w:w="2880"/>
        <w:gridCol w:w="937"/>
        <w:gridCol w:w="937"/>
        <w:gridCol w:w="937"/>
        <w:gridCol w:w="937"/>
        <w:gridCol w:w="937"/>
        <w:gridCol w:w="937"/>
        <w:gridCol w:w="937"/>
        <w:gridCol w:w="937"/>
      </w:tblGrid>
      <w:tr w:rsidR="005D54E4" w:rsidRPr="007A2CD1" w14:paraId="1F7F37EF" w14:textId="77777777" w:rsidTr="00515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0EF360EA" w14:textId="77777777" w:rsidR="005D54E4" w:rsidRPr="007A2CD1" w:rsidRDefault="005D54E4" w:rsidP="005D54E4">
            <w:pPr>
              <w:pStyle w:val="Tabelid"/>
            </w:pPr>
            <w:r w:rsidRPr="007A2CD1">
              <w:t>%</w:t>
            </w:r>
          </w:p>
        </w:tc>
        <w:tc>
          <w:tcPr>
            <w:tcW w:w="937" w:type="dxa"/>
          </w:tcPr>
          <w:p w14:paraId="29D997F9" w14:textId="142F7360" w:rsidR="005D54E4" w:rsidRPr="007A2CD1" w:rsidRDefault="005D54E4" w:rsidP="005D54E4">
            <w:pPr>
              <w:pStyle w:val="Tabelid"/>
              <w:jc w:val="right"/>
              <w:cnfStyle w:val="100000000000" w:firstRow="1" w:lastRow="0" w:firstColumn="0" w:lastColumn="0" w:oddVBand="0" w:evenVBand="0" w:oddHBand="0" w:evenHBand="0" w:firstRowFirstColumn="0" w:firstRowLastColumn="0" w:lastRowFirstColumn="0" w:lastRowLastColumn="0"/>
            </w:pPr>
            <w:r w:rsidRPr="005822EA">
              <w:t>2011-1</w:t>
            </w:r>
            <w:r>
              <w:t>9</w:t>
            </w:r>
          </w:p>
        </w:tc>
        <w:tc>
          <w:tcPr>
            <w:tcW w:w="937" w:type="dxa"/>
          </w:tcPr>
          <w:p w14:paraId="1BA7F052" w14:textId="26D39D94" w:rsidR="005D54E4" w:rsidRPr="007A2CD1" w:rsidRDefault="005D54E4" w:rsidP="005D54E4">
            <w:pPr>
              <w:pStyle w:val="Tabelid"/>
              <w:jc w:val="right"/>
              <w:cnfStyle w:val="100000000000" w:firstRow="1" w:lastRow="0" w:firstColumn="0" w:lastColumn="0" w:oddVBand="0" w:evenVBand="0" w:oddHBand="0" w:evenHBand="0" w:firstRowFirstColumn="0" w:firstRowLastColumn="0" w:lastRowFirstColumn="0" w:lastRowLastColumn="0"/>
            </w:pPr>
            <w:r w:rsidRPr="005822EA">
              <w:t>2020</w:t>
            </w:r>
          </w:p>
        </w:tc>
        <w:tc>
          <w:tcPr>
            <w:tcW w:w="937" w:type="dxa"/>
          </w:tcPr>
          <w:p w14:paraId="14BB2A7F" w14:textId="7F11945D" w:rsidR="005D54E4" w:rsidRPr="007A2CD1" w:rsidRDefault="005D54E4" w:rsidP="005D54E4">
            <w:pPr>
              <w:pStyle w:val="Tabelid"/>
              <w:jc w:val="right"/>
              <w:cnfStyle w:val="100000000000" w:firstRow="1" w:lastRow="0" w:firstColumn="0" w:lastColumn="0" w:oddVBand="0" w:evenVBand="0" w:oddHBand="0" w:evenHBand="0" w:firstRowFirstColumn="0" w:firstRowLastColumn="0" w:lastRowFirstColumn="0" w:lastRowLastColumn="0"/>
            </w:pPr>
            <w:r w:rsidRPr="005822EA">
              <w:t>2021</w:t>
            </w:r>
          </w:p>
        </w:tc>
        <w:tc>
          <w:tcPr>
            <w:tcW w:w="937" w:type="dxa"/>
          </w:tcPr>
          <w:p w14:paraId="6B5A0028" w14:textId="1D840E4C" w:rsidR="005D54E4" w:rsidRPr="007A2CD1" w:rsidRDefault="005D54E4" w:rsidP="005D54E4">
            <w:pPr>
              <w:pStyle w:val="Tabelid"/>
              <w:jc w:val="right"/>
              <w:cnfStyle w:val="100000000000" w:firstRow="1" w:lastRow="0" w:firstColumn="0" w:lastColumn="0" w:oddVBand="0" w:evenVBand="0" w:oddHBand="0" w:evenHBand="0" w:firstRowFirstColumn="0" w:firstRowLastColumn="0" w:lastRowFirstColumn="0" w:lastRowLastColumn="0"/>
            </w:pPr>
            <w:r w:rsidRPr="005822EA">
              <w:t>2022</w:t>
            </w:r>
          </w:p>
        </w:tc>
        <w:tc>
          <w:tcPr>
            <w:tcW w:w="937" w:type="dxa"/>
          </w:tcPr>
          <w:p w14:paraId="76C4FD4F" w14:textId="28109F2F" w:rsidR="005D54E4" w:rsidRPr="007A2CD1" w:rsidRDefault="005D54E4" w:rsidP="005D54E4">
            <w:pPr>
              <w:pStyle w:val="Tabelid"/>
              <w:jc w:val="right"/>
              <w:cnfStyle w:val="100000000000" w:firstRow="1" w:lastRow="0" w:firstColumn="0" w:lastColumn="0" w:oddVBand="0" w:evenVBand="0" w:oddHBand="0" w:evenHBand="0" w:firstRowFirstColumn="0" w:firstRowLastColumn="0" w:lastRowFirstColumn="0" w:lastRowLastColumn="0"/>
            </w:pPr>
            <w:r w:rsidRPr="005822EA">
              <w:t>2023</w:t>
            </w:r>
          </w:p>
        </w:tc>
        <w:tc>
          <w:tcPr>
            <w:tcW w:w="937" w:type="dxa"/>
          </w:tcPr>
          <w:p w14:paraId="7E36A66C" w14:textId="402793E3" w:rsidR="005D54E4" w:rsidRPr="007A2CD1" w:rsidRDefault="005D54E4" w:rsidP="005D54E4">
            <w:pPr>
              <w:pStyle w:val="Tabelid"/>
              <w:jc w:val="right"/>
              <w:cnfStyle w:val="100000000000" w:firstRow="1" w:lastRow="0" w:firstColumn="0" w:lastColumn="0" w:oddVBand="0" w:evenVBand="0" w:oddHBand="0" w:evenHBand="0" w:firstRowFirstColumn="0" w:firstRowLastColumn="0" w:lastRowFirstColumn="0" w:lastRowLastColumn="0"/>
            </w:pPr>
            <w:r w:rsidRPr="005822EA">
              <w:t>2024</w:t>
            </w:r>
          </w:p>
        </w:tc>
        <w:tc>
          <w:tcPr>
            <w:tcW w:w="937" w:type="dxa"/>
          </w:tcPr>
          <w:p w14:paraId="119B7EA4" w14:textId="34814970" w:rsidR="005D54E4" w:rsidRPr="007A2CD1" w:rsidRDefault="005D54E4" w:rsidP="005D54E4">
            <w:pPr>
              <w:pStyle w:val="Tabelid"/>
              <w:jc w:val="right"/>
              <w:cnfStyle w:val="100000000000" w:firstRow="1" w:lastRow="0" w:firstColumn="0" w:lastColumn="0" w:oddVBand="0" w:evenVBand="0" w:oddHBand="0" w:evenHBand="0" w:firstRowFirstColumn="0" w:firstRowLastColumn="0" w:lastRowFirstColumn="0" w:lastRowLastColumn="0"/>
            </w:pPr>
            <w:r w:rsidRPr="005822EA">
              <w:t>2025</w:t>
            </w:r>
          </w:p>
        </w:tc>
        <w:tc>
          <w:tcPr>
            <w:tcW w:w="937" w:type="dxa"/>
          </w:tcPr>
          <w:p w14:paraId="1556015E" w14:textId="7E91B520" w:rsidR="005D54E4" w:rsidRPr="007A2CD1" w:rsidRDefault="005D54E4" w:rsidP="005D54E4">
            <w:pPr>
              <w:pStyle w:val="Tabelid"/>
              <w:jc w:val="right"/>
              <w:cnfStyle w:val="100000000000" w:firstRow="1" w:lastRow="0" w:firstColumn="0" w:lastColumn="0" w:oddVBand="0" w:evenVBand="0" w:oddHBand="0" w:evenHBand="0" w:firstRowFirstColumn="0" w:firstRowLastColumn="0" w:lastRowFirstColumn="0" w:lastRowLastColumn="0"/>
            </w:pPr>
            <w:r w:rsidRPr="005822EA">
              <w:t>202</w:t>
            </w:r>
            <w:r>
              <w:t>6</w:t>
            </w:r>
          </w:p>
        </w:tc>
      </w:tr>
      <w:tr w:rsidR="005D54E4" w:rsidRPr="007A2CD1" w14:paraId="27C952E2" w14:textId="77777777" w:rsidTr="005D5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6E919BEC" w14:textId="77777777" w:rsidR="005D54E4" w:rsidRPr="007A2CD1" w:rsidRDefault="005D54E4" w:rsidP="005D54E4">
            <w:pPr>
              <w:pStyle w:val="Tabelid"/>
              <w:rPr>
                <w:color w:val="000000"/>
              </w:rPr>
            </w:pPr>
            <w:r w:rsidRPr="007A2CD1">
              <w:rPr>
                <w:color w:val="000000"/>
              </w:rPr>
              <w:t>1. Tööhõive (tuh inimest)</w:t>
            </w:r>
          </w:p>
        </w:tc>
        <w:tc>
          <w:tcPr>
            <w:tcW w:w="937" w:type="dxa"/>
            <w:vAlign w:val="center"/>
          </w:tcPr>
          <w:p w14:paraId="63178D3D" w14:textId="011DCA23"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637,6</w:t>
            </w:r>
          </w:p>
        </w:tc>
        <w:tc>
          <w:tcPr>
            <w:tcW w:w="937" w:type="dxa"/>
            <w:vAlign w:val="center"/>
          </w:tcPr>
          <w:p w14:paraId="19925B91" w14:textId="2E0AD8FC"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653,8</w:t>
            </w:r>
          </w:p>
        </w:tc>
        <w:tc>
          <w:tcPr>
            <w:tcW w:w="937" w:type="dxa"/>
            <w:vAlign w:val="center"/>
          </w:tcPr>
          <w:p w14:paraId="1ECF8D90" w14:textId="4EEDD277"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650,5</w:t>
            </w:r>
          </w:p>
        </w:tc>
        <w:tc>
          <w:tcPr>
            <w:tcW w:w="937" w:type="dxa"/>
            <w:vAlign w:val="center"/>
          </w:tcPr>
          <w:p w14:paraId="1B769685" w14:textId="3ED8EEDD"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649,8</w:t>
            </w:r>
          </w:p>
        </w:tc>
        <w:tc>
          <w:tcPr>
            <w:tcW w:w="937" w:type="dxa"/>
            <w:vAlign w:val="center"/>
          </w:tcPr>
          <w:p w14:paraId="2F79318D" w14:textId="61E2392C"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642,2</w:t>
            </w:r>
          </w:p>
        </w:tc>
        <w:tc>
          <w:tcPr>
            <w:tcW w:w="937" w:type="dxa"/>
            <w:vAlign w:val="center"/>
          </w:tcPr>
          <w:p w14:paraId="576EC1C4" w14:textId="3B5FAB2F"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649,3</w:t>
            </w:r>
          </w:p>
        </w:tc>
        <w:tc>
          <w:tcPr>
            <w:tcW w:w="937" w:type="dxa"/>
            <w:vAlign w:val="center"/>
          </w:tcPr>
          <w:p w14:paraId="4F0C6A59" w14:textId="3A2233BB"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651,9</w:t>
            </w:r>
          </w:p>
        </w:tc>
        <w:tc>
          <w:tcPr>
            <w:tcW w:w="937" w:type="dxa"/>
            <w:vAlign w:val="center"/>
          </w:tcPr>
          <w:p w14:paraId="2A58B29F" w14:textId="7BE3887F"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651,9</w:t>
            </w:r>
          </w:p>
        </w:tc>
      </w:tr>
      <w:tr w:rsidR="005D54E4" w:rsidRPr="007A2CD1" w14:paraId="5160999D" w14:textId="77777777" w:rsidTr="005D54E4">
        <w:tc>
          <w:tcPr>
            <w:cnfStyle w:val="001000000000" w:firstRow="0" w:lastRow="0" w:firstColumn="1" w:lastColumn="0" w:oddVBand="0" w:evenVBand="0" w:oddHBand="0" w:evenHBand="0" w:firstRowFirstColumn="0" w:firstRowLastColumn="0" w:lastRowFirstColumn="0" w:lastRowLastColumn="0"/>
            <w:tcW w:w="2880" w:type="dxa"/>
          </w:tcPr>
          <w:p w14:paraId="717D68C3" w14:textId="77777777" w:rsidR="005D54E4" w:rsidRPr="007A2CD1" w:rsidRDefault="005D54E4" w:rsidP="005D54E4">
            <w:pPr>
              <w:pStyle w:val="Tabelid"/>
              <w:rPr>
                <w:color w:val="000000"/>
              </w:rPr>
            </w:pPr>
            <w:r w:rsidRPr="007A2CD1">
              <w:rPr>
                <w:color w:val="000000"/>
              </w:rPr>
              <w:t>1a. Tööhõive kasv</w:t>
            </w:r>
          </w:p>
        </w:tc>
        <w:tc>
          <w:tcPr>
            <w:tcW w:w="937" w:type="dxa"/>
            <w:vAlign w:val="center"/>
          </w:tcPr>
          <w:p w14:paraId="7328F7AC" w14:textId="5E06DC2D" w:rsidR="005D54E4" w:rsidRPr="007A2CD1"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5D54E4">
              <w:t>1,8</w:t>
            </w:r>
          </w:p>
        </w:tc>
        <w:tc>
          <w:tcPr>
            <w:tcW w:w="937" w:type="dxa"/>
            <w:vAlign w:val="center"/>
          </w:tcPr>
          <w:p w14:paraId="05B284FD" w14:textId="624EAE92" w:rsidR="005D54E4" w:rsidRPr="007A2CD1"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5D54E4">
              <w:t>-2,2</w:t>
            </w:r>
          </w:p>
        </w:tc>
        <w:tc>
          <w:tcPr>
            <w:tcW w:w="937" w:type="dxa"/>
            <w:vAlign w:val="center"/>
          </w:tcPr>
          <w:p w14:paraId="2CA488FF" w14:textId="3BCEFDEC" w:rsidR="005D54E4" w:rsidRPr="007A2CD1"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5D54E4">
              <w:t>-0,5</w:t>
            </w:r>
          </w:p>
        </w:tc>
        <w:tc>
          <w:tcPr>
            <w:tcW w:w="937" w:type="dxa"/>
            <w:vAlign w:val="center"/>
          </w:tcPr>
          <w:p w14:paraId="3F28631F" w14:textId="2AB19503" w:rsidR="005D54E4" w:rsidRPr="007A2CD1"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5D54E4">
              <w:t>-0,1</w:t>
            </w:r>
          </w:p>
        </w:tc>
        <w:tc>
          <w:tcPr>
            <w:tcW w:w="937" w:type="dxa"/>
            <w:vAlign w:val="center"/>
          </w:tcPr>
          <w:p w14:paraId="0B6F76DB" w14:textId="2F160AAD" w:rsidR="005D54E4" w:rsidRPr="007A2CD1"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5D54E4">
              <w:t>-1,2</w:t>
            </w:r>
          </w:p>
        </w:tc>
        <w:tc>
          <w:tcPr>
            <w:tcW w:w="937" w:type="dxa"/>
            <w:vAlign w:val="center"/>
          </w:tcPr>
          <w:p w14:paraId="4E2F53D3" w14:textId="6A379D4D" w:rsidR="005D54E4" w:rsidRPr="007A2CD1"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5D54E4">
              <w:t>1,1</w:t>
            </w:r>
          </w:p>
        </w:tc>
        <w:tc>
          <w:tcPr>
            <w:tcW w:w="937" w:type="dxa"/>
            <w:vAlign w:val="center"/>
          </w:tcPr>
          <w:p w14:paraId="08AF9C33" w14:textId="2CFC0ED1" w:rsidR="005D54E4" w:rsidRPr="007A2CD1"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5D54E4">
              <w:t>0,4</w:t>
            </w:r>
          </w:p>
        </w:tc>
        <w:tc>
          <w:tcPr>
            <w:tcW w:w="937" w:type="dxa"/>
            <w:vAlign w:val="center"/>
          </w:tcPr>
          <w:p w14:paraId="5407FC22" w14:textId="61705DE9" w:rsidR="005D54E4" w:rsidRPr="007A2CD1"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5D54E4">
              <w:t>0,0</w:t>
            </w:r>
          </w:p>
        </w:tc>
      </w:tr>
      <w:tr w:rsidR="005D54E4" w:rsidRPr="007A2CD1" w14:paraId="6E633F99" w14:textId="77777777" w:rsidTr="005D5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01F20025" w14:textId="77777777" w:rsidR="005D54E4" w:rsidRPr="007A2CD1" w:rsidRDefault="005D54E4" w:rsidP="005D54E4">
            <w:pPr>
              <w:pStyle w:val="Tabelid"/>
              <w:rPr>
                <w:color w:val="000000"/>
              </w:rPr>
            </w:pPr>
            <w:r w:rsidRPr="007A2CD1">
              <w:rPr>
                <w:color w:val="000000"/>
              </w:rPr>
              <w:t>2. Tööpuuduse määr</w:t>
            </w:r>
          </w:p>
        </w:tc>
        <w:tc>
          <w:tcPr>
            <w:tcW w:w="937" w:type="dxa"/>
            <w:vAlign w:val="center"/>
          </w:tcPr>
          <w:p w14:paraId="3BFC3254" w14:textId="3D54AC6F"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7,4</w:t>
            </w:r>
          </w:p>
        </w:tc>
        <w:tc>
          <w:tcPr>
            <w:tcW w:w="937" w:type="dxa"/>
            <w:vAlign w:val="center"/>
          </w:tcPr>
          <w:p w14:paraId="5523A4C5" w14:textId="5506E527"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6,9</w:t>
            </w:r>
          </w:p>
        </w:tc>
        <w:tc>
          <w:tcPr>
            <w:tcW w:w="937" w:type="dxa"/>
            <w:vAlign w:val="center"/>
          </w:tcPr>
          <w:p w14:paraId="53750BC2" w14:textId="6B121D28"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6,2</w:t>
            </w:r>
          </w:p>
        </w:tc>
        <w:tc>
          <w:tcPr>
            <w:tcW w:w="937" w:type="dxa"/>
            <w:vAlign w:val="center"/>
          </w:tcPr>
          <w:p w14:paraId="4C50E46C" w14:textId="53236E8C"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7,2</w:t>
            </w:r>
          </w:p>
        </w:tc>
        <w:tc>
          <w:tcPr>
            <w:tcW w:w="937" w:type="dxa"/>
            <w:vAlign w:val="center"/>
          </w:tcPr>
          <w:p w14:paraId="5657DFFF" w14:textId="7ECB515B"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8,3</w:t>
            </w:r>
          </w:p>
        </w:tc>
        <w:tc>
          <w:tcPr>
            <w:tcW w:w="937" w:type="dxa"/>
            <w:vAlign w:val="center"/>
          </w:tcPr>
          <w:p w14:paraId="04390E89" w14:textId="00E9BAB5"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7,2</w:t>
            </w:r>
          </w:p>
        </w:tc>
        <w:tc>
          <w:tcPr>
            <w:tcW w:w="937" w:type="dxa"/>
            <w:vAlign w:val="center"/>
          </w:tcPr>
          <w:p w14:paraId="1BEF4988" w14:textId="6CD70410"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6,7</w:t>
            </w:r>
          </w:p>
        </w:tc>
        <w:tc>
          <w:tcPr>
            <w:tcW w:w="937" w:type="dxa"/>
            <w:vAlign w:val="center"/>
          </w:tcPr>
          <w:p w14:paraId="45E49CE1" w14:textId="65076A53"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6,4</w:t>
            </w:r>
          </w:p>
        </w:tc>
      </w:tr>
      <w:tr w:rsidR="005D54E4" w:rsidRPr="007A2CD1" w14:paraId="3F1A9ED5" w14:textId="77777777" w:rsidTr="005D54E4">
        <w:tc>
          <w:tcPr>
            <w:cnfStyle w:val="001000000000" w:firstRow="0" w:lastRow="0" w:firstColumn="1" w:lastColumn="0" w:oddVBand="0" w:evenVBand="0" w:oddHBand="0" w:evenHBand="0" w:firstRowFirstColumn="0" w:firstRowLastColumn="0" w:lastRowFirstColumn="0" w:lastRowLastColumn="0"/>
            <w:tcW w:w="2880" w:type="dxa"/>
          </w:tcPr>
          <w:p w14:paraId="708BC4F1" w14:textId="77777777" w:rsidR="005D54E4" w:rsidRPr="007A2CD1" w:rsidRDefault="005D54E4" w:rsidP="005D54E4">
            <w:pPr>
              <w:pStyle w:val="Tabelid"/>
              <w:rPr>
                <w:color w:val="000000"/>
              </w:rPr>
            </w:pPr>
            <w:r w:rsidRPr="007A2CD1">
              <w:rPr>
                <w:color w:val="000000"/>
              </w:rPr>
              <w:t>3. Tööjõu tootlikkuse kasv (hõivatute arvu järgi)</w:t>
            </w:r>
          </w:p>
        </w:tc>
        <w:tc>
          <w:tcPr>
            <w:tcW w:w="937" w:type="dxa"/>
            <w:vAlign w:val="center"/>
          </w:tcPr>
          <w:p w14:paraId="3D0F5533" w14:textId="74EAD358" w:rsidR="005D54E4" w:rsidRPr="007A2CD1"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5D54E4">
              <w:t>1,8</w:t>
            </w:r>
          </w:p>
        </w:tc>
        <w:tc>
          <w:tcPr>
            <w:tcW w:w="937" w:type="dxa"/>
            <w:vAlign w:val="center"/>
          </w:tcPr>
          <w:p w14:paraId="104464EA" w14:textId="6DBB0648" w:rsidR="005D54E4" w:rsidRPr="007A2CD1"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5D54E4">
              <w:t>-0,8</w:t>
            </w:r>
          </w:p>
        </w:tc>
        <w:tc>
          <w:tcPr>
            <w:tcW w:w="937" w:type="dxa"/>
            <w:vAlign w:val="center"/>
          </w:tcPr>
          <w:p w14:paraId="2AE02140" w14:textId="2CE756DD" w:rsidR="005D54E4" w:rsidRPr="007A2CD1"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5D54E4">
              <w:t>8,9</w:t>
            </w:r>
          </w:p>
        </w:tc>
        <w:tc>
          <w:tcPr>
            <w:tcW w:w="937" w:type="dxa"/>
            <w:vAlign w:val="center"/>
          </w:tcPr>
          <w:p w14:paraId="73686F96" w14:textId="02A9E754" w:rsidR="005D54E4" w:rsidRPr="007A2CD1"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5D54E4">
              <w:t>-0,9</w:t>
            </w:r>
          </w:p>
        </w:tc>
        <w:tc>
          <w:tcPr>
            <w:tcW w:w="937" w:type="dxa"/>
            <w:vAlign w:val="center"/>
          </w:tcPr>
          <w:p w14:paraId="088DB772" w14:textId="140A2760" w:rsidR="005D54E4" w:rsidRPr="007A2CD1"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5D54E4">
              <w:t>2,4</w:t>
            </w:r>
          </w:p>
        </w:tc>
        <w:tc>
          <w:tcPr>
            <w:tcW w:w="937" w:type="dxa"/>
            <w:vAlign w:val="center"/>
          </w:tcPr>
          <w:p w14:paraId="3FC33DE5" w14:textId="4BA5BAA1" w:rsidR="005D54E4" w:rsidRPr="007A2CD1"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5D54E4">
              <w:t>2,1</w:t>
            </w:r>
          </w:p>
        </w:tc>
        <w:tc>
          <w:tcPr>
            <w:tcW w:w="937" w:type="dxa"/>
            <w:vAlign w:val="center"/>
          </w:tcPr>
          <w:p w14:paraId="402A5DD9" w14:textId="7826DA6E" w:rsidR="005D54E4" w:rsidRPr="007A2CD1"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5D54E4">
              <w:t>2,2</w:t>
            </w:r>
          </w:p>
        </w:tc>
        <w:tc>
          <w:tcPr>
            <w:tcW w:w="937" w:type="dxa"/>
            <w:vAlign w:val="center"/>
          </w:tcPr>
          <w:p w14:paraId="345F17A3" w14:textId="7D90B670" w:rsidR="005D54E4" w:rsidRPr="007A2CD1"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5D54E4">
              <w:t>2,6</w:t>
            </w:r>
          </w:p>
        </w:tc>
      </w:tr>
      <w:tr w:rsidR="005D54E4" w:rsidRPr="007A2CD1" w14:paraId="413832E7" w14:textId="77777777" w:rsidTr="005D5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7B4C2A51" w14:textId="77777777" w:rsidR="005D54E4" w:rsidRPr="007A2CD1" w:rsidRDefault="005D54E4" w:rsidP="005D54E4">
            <w:pPr>
              <w:pStyle w:val="Tabelid"/>
              <w:rPr>
                <w:color w:val="000000"/>
              </w:rPr>
            </w:pPr>
            <w:r w:rsidRPr="007A2CD1">
              <w:rPr>
                <w:color w:val="000000"/>
              </w:rPr>
              <w:t>4. Keskmise palga reaalkasv</w:t>
            </w:r>
          </w:p>
        </w:tc>
        <w:tc>
          <w:tcPr>
            <w:tcW w:w="937" w:type="dxa"/>
            <w:vAlign w:val="center"/>
          </w:tcPr>
          <w:p w14:paraId="34005692" w14:textId="553E459C"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4,3</w:t>
            </w:r>
          </w:p>
        </w:tc>
        <w:tc>
          <w:tcPr>
            <w:tcW w:w="937" w:type="dxa"/>
            <w:vAlign w:val="center"/>
          </w:tcPr>
          <w:p w14:paraId="0C05DD4F" w14:textId="38985F53"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3,4</w:t>
            </w:r>
          </w:p>
        </w:tc>
        <w:tc>
          <w:tcPr>
            <w:tcW w:w="937" w:type="dxa"/>
            <w:vAlign w:val="center"/>
          </w:tcPr>
          <w:p w14:paraId="5807D100" w14:textId="020F68AF"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2,1</w:t>
            </w:r>
          </w:p>
        </w:tc>
        <w:tc>
          <w:tcPr>
            <w:tcW w:w="937" w:type="dxa"/>
            <w:vAlign w:val="center"/>
          </w:tcPr>
          <w:p w14:paraId="3EE9DAC5" w14:textId="54B4ABBC"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-5,1</w:t>
            </w:r>
          </w:p>
        </w:tc>
        <w:tc>
          <w:tcPr>
            <w:tcW w:w="937" w:type="dxa"/>
            <w:vAlign w:val="center"/>
          </w:tcPr>
          <w:p w14:paraId="2C7A9561" w14:textId="081C0B38"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3,4</w:t>
            </w:r>
          </w:p>
        </w:tc>
        <w:tc>
          <w:tcPr>
            <w:tcW w:w="937" w:type="dxa"/>
            <w:vAlign w:val="center"/>
          </w:tcPr>
          <w:p w14:paraId="75C16D99" w14:textId="5B437DDF"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2,3</w:t>
            </w:r>
          </w:p>
        </w:tc>
        <w:tc>
          <w:tcPr>
            <w:tcW w:w="937" w:type="dxa"/>
            <w:vAlign w:val="center"/>
          </w:tcPr>
          <w:p w14:paraId="18966BBD" w14:textId="1ADB2D85"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2,8</w:t>
            </w:r>
          </w:p>
        </w:tc>
        <w:tc>
          <w:tcPr>
            <w:tcW w:w="937" w:type="dxa"/>
            <w:vAlign w:val="center"/>
          </w:tcPr>
          <w:p w14:paraId="5DAFED87" w14:textId="49F2B01F"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3,0</w:t>
            </w:r>
          </w:p>
        </w:tc>
      </w:tr>
      <w:tr w:rsidR="005D54E4" w:rsidRPr="007A2CD1" w14:paraId="7EDBEDF1" w14:textId="77777777" w:rsidTr="005D54E4">
        <w:tc>
          <w:tcPr>
            <w:cnfStyle w:val="001000000000" w:firstRow="0" w:lastRow="0" w:firstColumn="1" w:lastColumn="0" w:oddVBand="0" w:evenVBand="0" w:oddHBand="0" w:evenHBand="0" w:firstRowFirstColumn="0" w:firstRowLastColumn="0" w:lastRowFirstColumn="0" w:lastRowLastColumn="0"/>
            <w:tcW w:w="2880" w:type="dxa"/>
          </w:tcPr>
          <w:p w14:paraId="2405A01C" w14:textId="77777777" w:rsidR="005D54E4" w:rsidRPr="007A2CD1" w:rsidRDefault="005D54E4" w:rsidP="005D54E4">
            <w:pPr>
              <w:pStyle w:val="Tabelid"/>
              <w:rPr>
                <w:color w:val="000000"/>
              </w:rPr>
            </w:pPr>
            <w:r w:rsidRPr="007A2CD1">
              <w:rPr>
                <w:color w:val="000000"/>
              </w:rPr>
              <w:t>4a. Keskmine palk (eurot)</w:t>
            </w:r>
          </w:p>
        </w:tc>
        <w:tc>
          <w:tcPr>
            <w:tcW w:w="937" w:type="dxa"/>
            <w:vAlign w:val="center"/>
          </w:tcPr>
          <w:p w14:paraId="06DC23FF" w14:textId="77777777" w:rsidR="005D54E4" w:rsidRPr="007A2CD1"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p>
        </w:tc>
        <w:tc>
          <w:tcPr>
            <w:tcW w:w="937" w:type="dxa"/>
            <w:vAlign w:val="center"/>
          </w:tcPr>
          <w:p w14:paraId="465DAE99" w14:textId="7E09CCB6" w:rsidR="005D54E4" w:rsidRPr="007A2CD1"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5D54E4">
              <w:t>1 448</w:t>
            </w:r>
          </w:p>
        </w:tc>
        <w:tc>
          <w:tcPr>
            <w:tcW w:w="937" w:type="dxa"/>
            <w:vAlign w:val="center"/>
          </w:tcPr>
          <w:p w14:paraId="13000FEE" w14:textId="57FB9A81" w:rsidR="005D54E4" w:rsidRPr="007A2CD1"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5D54E4">
              <w:t>1 548</w:t>
            </w:r>
          </w:p>
        </w:tc>
        <w:tc>
          <w:tcPr>
            <w:tcW w:w="937" w:type="dxa"/>
            <w:vAlign w:val="center"/>
          </w:tcPr>
          <w:p w14:paraId="046FE9F7" w14:textId="78EFFF4A" w:rsidR="005D54E4" w:rsidRPr="007A2CD1"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5D54E4">
              <w:t>1 656</w:t>
            </w:r>
          </w:p>
        </w:tc>
        <w:tc>
          <w:tcPr>
            <w:tcW w:w="937" w:type="dxa"/>
            <w:vAlign w:val="center"/>
          </w:tcPr>
          <w:p w14:paraId="546F6DAA" w14:textId="6C260191" w:rsidR="005D54E4" w:rsidRPr="007A2CD1"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5D54E4">
              <w:t>1 749</w:t>
            </w:r>
          </w:p>
        </w:tc>
        <w:tc>
          <w:tcPr>
            <w:tcW w:w="937" w:type="dxa"/>
            <w:vAlign w:val="center"/>
          </w:tcPr>
          <w:p w14:paraId="51CEF0CB" w14:textId="51D73448" w:rsidR="005D54E4" w:rsidRPr="007A2CD1"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5D54E4">
              <w:t>1 811</w:t>
            </w:r>
          </w:p>
        </w:tc>
        <w:tc>
          <w:tcPr>
            <w:tcW w:w="937" w:type="dxa"/>
            <w:vAlign w:val="center"/>
          </w:tcPr>
          <w:p w14:paraId="0AF87404" w14:textId="6448B3F4" w:rsidR="005D54E4" w:rsidRPr="007A2CD1"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5D54E4">
              <w:t>1 892</w:t>
            </w:r>
          </w:p>
        </w:tc>
        <w:tc>
          <w:tcPr>
            <w:tcW w:w="937" w:type="dxa"/>
            <w:vAlign w:val="center"/>
          </w:tcPr>
          <w:p w14:paraId="78876FE0" w14:textId="4B0F8A91" w:rsidR="005D54E4" w:rsidRPr="007A2CD1" w:rsidRDefault="005D54E4" w:rsidP="005D54E4">
            <w:pPr>
              <w:pStyle w:val="Tabelid"/>
              <w:jc w:val="right"/>
              <w:cnfStyle w:val="000000000000" w:firstRow="0" w:lastRow="0" w:firstColumn="0" w:lastColumn="0" w:oddVBand="0" w:evenVBand="0" w:oddHBand="0" w:evenHBand="0" w:firstRowFirstColumn="0" w:firstRowLastColumn="0" w:lastRowFirstColumn="0" w:lastRowLastColumn="0"/>
            </w:pPr>
            <w:r w:rsidRPr="005D54E4">
              <w:t>1 987</w:t>
            </w:r>
          </w:p>
        </w:tc>
      </w:tr>
      <w:tr w:rsidR="005D54E4" w:rsidRPr="007A2CD1" w14:paraId="5F1BE31B" w14:textId="77777777" w:rsidTr="005D5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56442345" w14:textId="77777777" w:rsidR="005D54E4" w:rsidRPr="007A2CD1" w:rsidRDefault="005D54E4" w:rsidP="005D54E4">
            <w:pPr>
              <w:pStyle w:val="Tabelid"/>
              <w:rPr>
                <w:color w:val="000000"/>
              </w:rPr>
            </w:pPr>
            <w:r w:rsidRPr="007A2CD1">
              <w:rPr>
                <w:color w:val="000000"/>
              </w:rPr>
              <w:t>4b. Keskmise palga nominaalkasv</w:t>
            </w:r>
          </w:p>
        </w:tc>
        <w:tc>
          <w:tcPr>
            <w:tcW w:w="937" w:type="dxa"/>
            <w:vAlign w:val="center"/>
          </w:tcPr>
          <w:p w14:paraId="0F09FD7D" w14:textId="35501DF9"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6,6</w:t>
            </w:r>
          </w:p>
        </w:tc>
        <w:tc>
          <w:tcPr>
            <w:tcW w:w="937" w:type="dxa"/>
            <w:vAlign w:val="center"/>
          </w:tcPr>
          <w:p w14:paraId="0D4E5BB6" w14:textId="112B2FD0"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2,9</w:t>
            </w:r>
          </w:p>
        </w:tc>
        <w:tc>
          <w:tcPr>
            <w:tcW w:w="937" w:type="dxa"/>
            <w:vAlign w:val="center"/>
          </w:tcPr>
          <w:p w14:paraId="12210A8B" w14:textId="6BE6CD77"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6,8</w:t>
            </w:r>
          </w:p>
        </w:tc>
        <w:tc>
          <w:tcPr>
            <w:tcW w:w="937" w:type="dxa"/>
            <w:vAlign w:val="center"/>
          </w:tcPr>
          <w:p w14:paraId="189E3D88" w14:textId="16964B7F"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7,0</w:t>
            </w:r>
          </w:p>
        </w:tc>
        <w:tc>
          <w:tcPr>
            <w:tcW w:w="937" w:type="dxa"/>
            <w:vAlign w:val="center"/>
          </w:tcPr>
          <w:p w14:paraId="09AB4561" w14:textId="50B65740"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5,6</w:t>
            </w:r>
          </w:p>
        </w:tc>
        <w:tc>
          <w:tcPr>
            <w:tcW w:w="937" w:type="dxa"/>
            <w:vAlign w:val="center"/>
          </w:tcPr>
          <w:p w14:paraId="0A914BD8" w14:textId="2FBB6500"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3,6</w:t>
            </w:r>
          </w:p>
        </w:tc>
        <w:tc>
          <w:tcPr>
            <w:tcW w:w="937" w:type="dxa"/>
            <w:vAlign w:val="center"/>
          </w:tcPr>
          <w:p w14:paraId="03175A64" w14:textId="031ACA4D"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4,5</w:t>
            </w:r>
          </w:p>
        </w:tc>
        <w:tc>
          <w:tcPr>
            <w:tcW w:w="937" w:type="dxa"/>
            <w:vAlign w:val="center"/>
          </w:tcPr>
          <w:p w14:paraId="31F3554B" w14:textId="7B18F9F2" w:rsidR="005D54E4" w:rsidRPr="007A2CD1" w:rsidRDefault="005D54E4" w:rsidP="005D54E4">
            <w:pPr>
              <w:pStyle w:val="Tabelid"/>
              <w:jc w:val="right"/>
              <w:cnfStyle w:val="000000100000" w:firstRow="0" w:lastRow="0" w:firstColumn="0" w:lastColumn="0" w:oddVBand="0" w:evenVBand="0" w:oddHBand="1" w:evenHBand="0" w:firstRowFirstColumn="0" w:firstRowLastColumn="0" w:lastRowFirstColumn="0" w:lastRowLastColumn="0"/>
            </w:pPr>
            <w:r w:rsidRPr="005D54E4">
              <w:t>5,0</w:t>
            </w:r>
          </w:p>
        </w:tc>
      </w:tr>
    </w:tbl>
    <w:p w14:paraId="4BE470E1" w14:textId="77777777" w:rsidR="00831AD9" w:rsidRPr="007A2CD1" w:rsidRDefault="00831AD9" w:rsidP="00831AD9">
      <w:pPr>
        <w:pStyle w:val="Phitekst"/>
      </w:pPr>
    </w:p>
    <w:p w14:paraId="15CB3B10" w14:textId="5AF1FD14" w:rsidR="00831AD9" w:rsidRPr="007A2CD1" w:rsidRDefault="00831AD9" w:rsidP="00E54FF2">
      <w:pPr>
        <w:pStyle w:val="Pealdis"/>
      </w:pPr>
      <w:bookmarkStart w:id="172" w:name="_Toc511374600"/>
      <w:bookmarkStart w:id="173" w:name="_Toc4502668"/>
      <w:bookmarkStart w:id="174" w:name="_Toc100230293"/>
      <w:r w:rsidRPr="0006521C">
        <w:t xml:space="preserve">Tabel </w:t>
      </w:r>
      <w:fldSimple w:instr=" SEQ Tabel \* ARABIC ">
        <w:r w:rsidR="000C04EE">
          <w:rPr>
            <w:noProof/>
          </w:rPr>
          <w:t>8</w:t>
        </w:r>
      </w:fldSimple>
      <w:r w:rsidRPr="0006521C">
        <w:t>. Maksebilansi prognoos 202</w:t>
      </w:r>
      <w:r w:rsidR="005D54E4" w:rsidRPr="0006521C">
        <w:t>2</w:t>
      </w:r>
      <w:r w:rsidRPr="0006521C">
        <w:t>–202</w:t>
      </w:r>
      <w:bookmarkEnd w:id="172"/>
      <w:bookmarkEnd w:id="173"/>
      <w:r w:rsidR="005D54E4" w:rsidRPr="0006521C">
        <w:t>6</w:t>
      </w:r>
      <w:bookmarkEnd w:id="174"/>
    </w:p>
    <w:tbl>
      <w:tblPr>
        <w:tblStyle w:val="Peentabel1"/>
        <w:tblW w:w="10376" w:type="dxa"/>
        <w:tblLayout w:type="fixed"/>
        <w:tblLook w:val="00A0" w:firstRow="1" w:lastRow="0" w:firstColumn="1" w:lastColumn="0" w:noHBand="0" w:noVBand="0"/>
      </w:tblPr>
      <w:tblGrid>
        <w:gridCol w:w="2880"/>
        <w:gridCol w:w="937"/>
        <w:gridCol w:w="937"/>
        <w:gridCol w:w="937"/>
        <w:gridCol w:w="937"/>
        <w:gridCol w:w="937"/>
        <w:gridCol w:w="937"/>
        <w:gridCol w:w="937"/>
        <w:gridCol w:w="937"/>
      </w:tblGrid>
      <w:tr w:rsidR="005D54E4" w:rsidRPr="007A2CD1" w14:paraId="25AD6D02" w14:textId="77777777" w:rsidTr="00515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30A587B1" w14:textId="77777777" w:rsidR="005D54E4" w:rsidRPr="007A2CD1" w:rsidRDefault="005D54E4" w:rsidP="005D54E4">
            <w:pPr>
              <w:pStyle w:val="Tabelid"/>
            </w:pPr>
            <w:r w:rsidRPr="007A2CD1">
              <w:t>% SKPst</w:t>
            </w:r>
          </w:p>
        </w:tc>
        <w:tc>
          <w:tcPr>
            <w:tcW w:w="937" w:type="dxa"/>
          </w:tcPr>
          <w:p w14:paraId="59535197" w14:textId="42C3E4F5" w:rsidR="005D54E4" w:rsidRPr="007A2CD1" w:rsidRDefault="005D54E4" w:rsidP="005D54E4">
            <w:pPr>
              <w:pStyle w:val="Tabelid"/>
              <w:cnfStyle w:val="100000000000" w:firstRow="1" w:lastRow="0" w:firstColumn="0" w:lastColumn="0" w:oddVBand="0" w:evenVBand="0" w:oddHBand="0" w:evenHBand="0" w:firstRowFirstColumn="0" w:firstRowLastColumn="0" w:lastRowFirstColumn="0" w:lastRowLastColumn="0"/>
            </w:pPr>
            <w:r w:rsidRPr="005822EA">
              <w:t>2011-1</w:t>
            </w:r>
            <w:r>
              <w:t>9</w:t>
            </w:r>
          </w:p>
        </w:tc>
        <w:tc>
          <w:tcPr>
            <w:tcW w:w="937" w:type="dxa"/>
          </w:tcPr>
          <w:p w14:paraId="6C6DE1D9" w14:textId="7CF01850" w:rsidR="005D54E4" w:rsidRPr="007A2CD1" w:rsidRDefault="005D54E4" w:rsidP="005D54E4">
            <w:pPr>
              <w:pStyle w:val="Tabelid"/>
              <w:cnfStyle w:val="100000000000" w:firstRow="1" w:lastRow="0" w:firstColumn="0" w:lastColumn="0" w:oddVBand="0" w:evenVBand="0" w:oddHBand="0" w:evenHBand="0" w:firstRowFirstColumn="0" w:firstRowLastColumn="0" w:lastRowFirstColumn="0" w:lastRowLastColumn="0"/>
            </w:pPr>
            <w:r w:rsidRPr="005822EA">
              <w:t>2020</w:t>
            </w:r>
          </w:p>
        </w:tc>
        <w:tc>
          <w:tcPr>
            <w:tcW w:w="937" w:type="dxa"/>
          </w:tcPr>
          <w:p w14:paraId="4E7E336C" w14:textId="6983D400" w:rsidR="005D54E4" w:rsidRPr="007A2CD1" w:rsidRDefault="005D54E4" w:rsidP="005D54E4">
            <w:pPr>
              <w:pStyle w:val="Tabelid"/>
              <w:cnfStyle w:val="100000000000" w:firstRow="1" w:lastRow="0" w:firstColumn="0" w:lastColumn="0" w:oddVBand="0" w:evenVBand="0" w:oddHBand="0" w:evenHBand="0" w:firstRowFirstColumn="0" w:firstRowLastColumn="0" w:lastRowFirstColumn="0" w:lastRowLastColumn="0"/>
            </w:pPr>
            <w:r w:rsidRPr="005822EA">
              <w:t>2021</w:t>
            </w:r>
          </w:p>
        </w:tc>
        <w:tc>
          <w:tcPr>
            <w:tcW w:w="937" w:type="dxa"/>
          </w:tcPr>
          <w:p w14:paraId="5A879E29" w14:textId="345D35DE" w:rsidR="005D54E4" w:rsidRPr="007A2CD1" w:rsidRDefault="005D54E4" w:rsidP="005D54E4">
            <w:pPr>
              <w:pStyle w:val="Tabelid"/>
              <w:cnfStyle w:val="100000000000" w:firstRow="1" w:lastRow="0" w:firstColumn="0" w:lastColumn="0" w:oddVBand="0" w:evenVBand="0" w:oddHBand="0" w:evenHBand="0" w:firstRowFirstColumn="0" w:firstRowLastColumn="0" w:lastRowFirstColumn="0" w:lastRowLastColumn="0"/>
            </w:pPr>
            <w:r w:rsidRPr="005822EA">
              <w:t>2022</w:t>
            </w:r>
          </w:p>
        </w:tc>
        <w:tc>
          <w:tcPr>
            <w:tcW w:w="937" w:type="dxa"/>
          </w:tcPr>
          <w:p w14:paraId="1FCB6243" w14:textId="482623CE" w:rsidR="005D54E4" w:rsidRPr="007A2CD1" w:rsidRDefault="005D54E4" w:rsidP="005D54E4">
            <w:pPr>
              <w:pStyle w:val="Tabelid"/>
              <w:cnfStyle w:val="100000000000" w:firstRow="1" w:lastRow="0" w:firstColumn="0" w:lastColumn="0" w:oddVBand="0" w:evenVBand="0" w:oddHBand="0" w:evenHBand="0" w:firstRowFirstColumn="0" w:firstRowLastColumn="0" w:lastRowFirstColumn="0" w:lastRowLastColumn="0"/>
            </w:pPr>
            <w:r w:rsidRPr="005822EA">
              <w:t>2023</w:t>
            </w:r>
          </w:p>
        </w:tc>
        <w:tc>
          <w:tcPr>
            <w:tcW w:w="937" w:type="dxa"/>
          </w:tcPr>
          <w:p w14:paraId="5885763C" w14:textId="60DF2001" w:rsidR="005D54E4" w:rsidRPr="007A2CD1" w:rsidRDefault="005D54E4" w:rsidP="005D54E4">
            <w:pPr>
              <w:pStyle w:val="Tabelid"/>
              <w:cnfStyle w:val="100000000000" w:firstRow="1" w:lastRow="0" w:firstColumn="0" w:lastColumn="0" w:oddVBand="0" w:evenVBand="0" w:oddHBand="0" w:evenHBand="0" w:firstRowFirstColumn="0" w:firstRowLastColumn="0" w:lastRowFirstColumn="0" w:lastRowLastColumn="0"/>
            </w:pPr>
            <w:r w:rsidRPr="005822EA">
              <w:t>2024</w:t>
            </w:r>
          </w:p>
        </w:tc>
        <w:tc>
          <w:tcPr>
            <w:tcW w:w="937" w:type="dxa"/>
          </w:tcPr>
          <w:p w14:paraId="1315CA18" w14:textId="06C03B04" w:rsidR="005D54E4" w:rsidRPr="007A2CD1" w:rsidRDefault="005D54E4" w:rsidP="005D54E4">
            <w:pPr>
              <w:pStyle w:val="Tabelid"/>
              <w:cnfStyle w:val="100000000000" w:firstRow="1" w:lastRow="0" w:firstColumn="0" w:lastColumn="0" w:oddVBand="0" w:evenVBand="0" w:oddHBand="0" w:evenHBand="0" w:firstRowFirstColumn="0" w:firstRowLastColumn="0" w:lastRowFirstColumn="0" w:lastRowLastColumn="0"/>
            </w:pPr>
            <w:r w:rsidRPr="005822EA">
              <w:t>2025</w:t>
            </w:r>
          </w:p>
        </w:tc>
        <w:tc>
          <w:tcPr>
            <w:tcW w:w="937" w:type="dxa"/>
          </w:tcPr>
          <w:p w14:paraId="45F6BC95" w14:textId="24157ECB" w:rsidR="005D54E4" w:rsidRPr="007A2CD1" w:rsidRDefault="005D54E4" w:rsidP="005D54E4">
            <w:pPr>
              <w:pStyle w:val="Tabelid"/>
              <w:cnfStyle w:val="100000000000" w:firstRow="1" w:lastRow="0" w:firstColumn="0" w:lastColumn="0" w:oddVBand="0" w:evenVBand="0" w:oddHBand="0" w:evenHBand="0" w:firstRowFirstColumn="0" w:firstRowLastColumn="0" w:lastRowFirstColumn="0" w:lastRowLastColumn="0"/>
            </w:pPr>
            <w:r w:rsidRPr="005822EA">
              <w:t>202</w:t>
            </w:r>
            <w:r>
              <w:t>6</w:t>
            </w:r>
          </w:p>
        </w:tc>
      </w:tr>
      <w:tr w:rsidR="005D54E4" w:rsidRPr="007A2CD1" w14:paraId="3123534F" w14:textId="77777777" w:rsidTr="0067524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80" w:type="dxa"/>
          </w:tcPr>
          <w:p w14:paraId="093BA725" w14:textId="77777777" w:rsidR="005D54E4" w:rsidRPr="007A2CD1" w:rsidRDefault="005D54E4" w:rsidP="005D54E4">
            <w:pPr>
              <w:pStyle w:val="Tabelid"/>
              <w:rPr>
                <w:color w:val="000000"/>
              </w:rPr>
            </w:pPr>
            <w:r w:rsidRPr="007A2CD1">
              <w:rPr>
                <w:color w:val="000000"/>
              </w:rPr>
              <w:t>1. Võlgnevus välismaailma suhtes</w:t>
            </w:r>
          </w:p>
        </w:tc>
        <w:tc>
          <w:tcPr>
            <w:tcW w:w="937" w:type="dxa"/>
            <w:vAlign w:val="center"/>
          </w:tcPr>
          <w:p w14:paraId="5087D982" w14:textId="0D4D3B67" w:rsidR="005D54E4" w:rsidRPr="007A2CD1" w:rsidRDefault="005D54E4"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3,0</w:t>
            </w:r>
          </w:p>
        </w:tc>
        <w:tc>
          <w:tcPr>
            <w:tcW w:w="937" w:type="dxa"/>
            <w:vAlign w:val="center"/>
          </w:tcPr>
          <w:p w14:paraId="06B02A5E" w14:textId="1DFEC059" w:rsidR="005D54E4" w:rsidRPr="007A2CD1" w:rsidRDefault="005D54E4"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1,8</w:t>
            </w:r>
          </w:p>
        </w:tc>
        <w:tc>
          <w:tcPr>
            <w:tcW w:w="937" w:type="dxa"/>
            <w:vAlign w:val="center"/>
          </w:tcPr>
          <w:p w14:paraId="2F561F55" w14:textId="324B9568" w:rsidR="005D54E4" w:rsidRPr="007A2CD1" w:rsidRDefault="005D54E4"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8,1</w:t>
            </w:r>
          </w:p>
        </w:tc>
        <w:tc>
          <w:tcPr>
            <w:tcW w:w="937" w:type="dxa"/>
            <w:vAlign w:val="center"/>
          </w:tcPr>
          <w:p w14:paraId="15FCC8C9" w14:textId="20188EC9" w:rsidR="005D54E4" w:rsidRPr="007A2CD1" w:rsidRDefault="005D54E4"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3,4</w:t>
            </w:r>
          </w:p>
        </w:tc>
        <w:tc>
          <w:tcPr>
            <w:tcW w:w="937" w:type="dxa"/>
            <w:vAlign w:val="center"/>
          </w:tcPr>
          <w:p w14:paraId="1DAF96BF" w14:textId="1B36DEF7" w:rsidR="005D54E4" w:rsidRPr="007A2CD1" w:rsidRDefault="005D54E4"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4,1</w:t>
            </w:r>
          </w:p>
        </w:tc>
        <w:tc>
          <w:tcPr>
            <w:tcW w:w="937" w:type="dxa"/>
            <w:vAlign w:val="center"/>
          </w:tcPr>
          <w:p w14:paraId="7436DB0D" w14:textId="62E0628A" w:rsidR="005D54E4" w:rsidRPr="007A2CD1" w:rsidRDefault="005D54E4"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4,3</w:t>
            </w:r>
          </w:p>
        </w:tc>
        <w:tc>
          <w:tcPr>
            <w:tcW w:w="937" w:type="dxa"/>
            <w:vAlign w:val="center"/>
          </w:tcPr>
          <w:p w14:paraId="777E6E5E" w14:textId="5C77B685" w:rsidR="005D54E4" w:rsidRPr="007A2CD1" w:rsidRDefault="005D54E4"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4,1</w:t>
            </w:r>
          </w:p>
        </w:tc>
        <w:tc>
          <w:tcPr>
            <w:tcW w:w="937" w:type="dxa"/>
            <w:vAlign w:val="center"/>
          </w:tcPr>
          <w:p w14:paraId="485CF4AC" w14:textId="1A82CD22" w:rsidR="005D54E4" w:rsidRPr="007A2CD1" w:rsidRDefault="005D54E4"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4,9</w:t>
            </w:r>
          </w:p>
        </w:tc>
      </w:tr>
      <w:tr w:rsidR="005D54E4" w:rsidRPr="007A2CD1" w14:paraId="045AA343" w14:textId="77777777" w:rsidTr="0067524A">
        <w:tc>
          <w:tcPr>
            <w:cnfStyle w:val="001000000000" w:firstRow="0" w:lastRow="0" w:firstColumn="1" w:lastColumn="0" w:oddVBand="0" w:evenVBand="0" w:oddHBand="0" w:evenHBand="0" w:firstRowFirstColumn="0" w:firstRowLastColumn="0" w:lastRowFirstColumn="0" w:lastRowLastColumn="0"/>
            <w:tcW w:w="2880" w:type="dxa"/>
          </w:tcPr>
          <w:p w14:paraId="333FDBF6" w14:textId="77777777" w:rsidR="005D54E4" w:rsidRPr="007A2CD1" w:rsidRDefault="005D54E4" w:rsidP="005D54E4">
            <w:pPr>
              <w:pStyle w:val="Tabelid"/>
              <w:rPr>
                <w:color w:val="000000"/>
              </w:rPr>
            </w:pPr>
            <w:r w:rsidRPr="007A2CD1">
              <w:rPr>
                <w:color w:val="000000"/>
              </w:rPr>
              <w:t>1a. Jooksevkonto</w:t>
            </w:r>
          </w:p>
        </w:tc>
        <w:tc>
          <w:tcPr>
            <w:tcW w:w="937" w:type="dxa"/>
            <w:vAlign w:val="center"/>
          </w:tcPr>
          <w:p w14:paraId="33E6332D" w14:textId="0A133821" w:rsidR="005D54E4" w:rsidRPr="007A2CD1" w:rsidRDefault="005D54E4"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1,0</w:t>
            </w:r>
          </w:p>
        </w:tc>
        <w:tc>
          <w:tcPr>
            <w:tcW w:w="937" w:type="dxa"/>
            <w:vAlign w:val="center"/>
          </w:tcPr>
          <w:p w14:paraId="214611C7" w14:textId="72E733B5" w:rsidR="005D54E4" w:rsidRPr="007A2CD1" w:rsidRDefault="005D54E4"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-0,3</w:t>
            </w:r>
          </w:p>
        </w:tc>
        <w:tc>
          <w:tcPr>
            <w:tcW w:w="937" w:type="dxa"/>
            <w:vAlign w:val="center"/>
          </w:tcPr>
          <w:p w14:paraId="1824BD43" w14:textId="60147333" w:rsidR="005D54E4" w:rsidRPr="007A2CD1" w:rsidRDefault="005D54E4"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-1,1</w:t>
            </w:r>
          </w:p>
        </w:tc>
        <w:tc>
          <w:tcPr>
            <w:tcW w:w="937" w:type="dxa"/>
            <w:vAlign w:val="center"/>
          </w:tcPr>
          <w:p w14:paraId="547D6F22" w14:textId="56D363AB" w:rsidR="005D54E4" w:rsidRPr="007A2CD1" w:rsidRDefault="005D54E4"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2,0</w:t>
            </w:r>
          </w:p>
        </w:tc>
        <w:tc>
          <w:tcPr>
            <w:tcW w:w="937" w:type="dxa"/>
            <w:vAlign w:val="center"/>
          </w:tcPr>
          <w:p w14:paraId="6B1D433D" w14:textId="4642C9C6" w:rsidR="005D54E4" w:rsidRPr="007A2CD1" w:rsidRDefault="005D54E4"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2,1</w:t>
            </w:r>
          </w:p>
        </w:tc>
        <w:tc>
          <w:tcPr>
            <w:tcW w:w="937" w:type="dxa"/>
            <w:vAlign w:val="center"/>
          </w:tcPr>
          <w:p w14:paraId="5CA97DD5" w14:textId="38A29F93" w:rsidR="005D54E4" w:rsidRPr="007A2CD1" w:rsidRDefault="005D54E4"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2,8</w:t>
            </w:r>
          </w:p>
        </w:tc>
        <w:tc>
          <w:tcPr>
            <w:tcW w:w="937" w:type="dxa"/>
            <w:vAlign w:val="center"/>
          </w:tcPr>
          <w:p w14:paraId="6D4D4C30" w14:textId="4DAC7F83" w:rsidR="005D54E4" w:rsidRPr="007A2CD1" w:rsidRDefault="005D54E4"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2,7</w:t>
            </w:r>
          </w:p>
        </w:tc>
        <w:tc>
          <w:tcPr>
            <w:tcW w:w="937" w:type="dxa"/>
            <w:vAlign w:val="center"/>
          </w:tcPr>
          <w:p w14:paraId="4970B849" w14:textId="601F4AF7" w:rsidR="005D54E4" w:rsidRPr="007A2CD1" w:rsidRDefault="005D54E4"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3,2</w:t>
            </w:r>
          </w:p>
        </w:tc>
      </w:tr>
      <w:tr w:rsidR="00980E15" w:rsidRPr="007A2CD1" w14:paraId="2EF562A5" w14:textId="77777777" w:rsidTr="00675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2435F38B" w14:textId="77777777" w:rsidR="00980E15" w:rsidRPr="007A2CD1" w:rsidRDefault="00980E15" w:rsidP="00980E15">
            <w:pPr>
              <w:pStyle w:val="Tabelid"/>
              <w:rPr>
                <w:color w:val="000000"/>
              </w:rPr>
            </w:pPr>
            <w:r w:rsidRPr="007A2CD1">
              <w:rPr>
                <w:color w:val="000000"/>
              </w:rPr>
              <w:t>2. Kaupade ja teenuste bilanss</w:t>
            </w:r>
          </w:p>
        </w:tc>
        <w:tc>
          <w:tcPr>
            <w:tcW w:w="937" w:type="dxa"/>
            <w:vAlign w:val="center"/>
          </w:tcPr>
          <w:p w14:paraId="44CCE9CC" w14:textId="6189EEFC" w:rsidR="00980E15" w:rsidRPr="007A2CD1" w:rsidRDefault="00980E15"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3,6</w:t>
            </w:r>
          </w:p>
        </w:tc>
        <w:tc>
          <w:tcPr>
            <w:tcW w:w="937" w:type="dxa"/>
            <w:vAlign w:val="center"/>
          </w:tcPr>
          <w:p w14:paraId="043209D6" w14:textId="4A9EC99B" w:rsidR="00980E15" w:rsidRPr="007A2CD1" w:rsidRDefault="00980E15"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0,5</w:t>
            </w:r>
          </w:p>
        </w:tc>
        <w:tc>
          <w:tcPr>
            <w:tcW w:w="937" w:type="dxa"/>
            <w:vAlign w:val="center"/>
          </w:tcPr>
          <w:p w14:paraId="0EAFF83D" w14:textId="1AC65203" w:rsidR="00980E15" w:rsidRPr="007A2CD1" w:rsidRDefault="00980E15"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0,3</w:t>
            </w:r>
          </w:p>
        </w:tc>
        <w:tc>
          <w:tcPr>
            <w:tcW w:w="937" w:type="dxa"/>
            <w:vAlign w:val="center"/>
          </w:tcPr>
          <w:p w14:paraId="0FD2F70F" w14:textId="045A137C" w:rsidR="00980E15" w:rsidRPr="007A2CD1" w:rsidRDefault="00980E15"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3,6</w:t>
            </w:r>
          </w:p>
        </w:tc>
        <w:tc>
          <w:tcPr>
            <w:tcW w:w="937" w:type="dxa"/>
            <w:vAlign w:val="center"/>
          </w:tcPr>
          <w:p w14:paraId="2B5CA516" w14:textId="322D3682" w:rsidR="00980E15" w:rsidRPr="007A2CD1" w:rsidRDefault="00980E15"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3,9</w:t>
            </w:r>
          </w:p>
        </w:tc>
        <w:tc>
          <w:tcPr>
            <w:tcW w:w="937" w:type="dxa"/>
            <w:vAlign w:val="center"/>
          </w:tcPr>
          <w:p w14:paraId="1C35FE08" w14:textId="50A1BDAD" w:rsidR="00980E15" w:rsidRPr="007A2CD1" w:rsidRDefault="00980E15"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4,9</w:t>
            </w:r>
          </w:p>
        </w:tc>
        <w:tc>
          <w:tcPr>
            <w:tcW w:w="937" w:type="dxa"/>
            <w:vAlign w:val="center"/>
          </w:tcPr>
          <w:p w14:paraId="5E5F45DB" w14:textId="77AE1BFF" w:rsidR="00980E15" w:rsidRPr="007A2CD1" w:rsidRDefault="00980E15"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5,1</w:t>
            </w:r>
          </w:p>
        </w:tc>
        <w:tc>
          <w:tcPr>
            <w:tcW w:w="937" w:type="dxa"/>
            <w:vAlign w:val="center"/>
          </w:tcPr>
          <w:p w14:paraId="0807D14E" w14:textId="3EE949C8" w:rsidR="00980E15" w:rsidRPr="007A2CD1" w:rsidRDefault="00980E15"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5,8</w:t>
            </w:r>
          </w:p>
        </w:tc>
      </w:tr>
      <w:tr w:rsidR="00980E15" w:rsidRPr="007A2CD1" w14:paraId="18339F9D" w14:textId="77777777" w:rsidTr="0067524A">
        <w:tc>
          <w:tcPr>
            <w:cnfStyle w:val="001000000000" w:firstRow="0" w:lastRow="0" w:firstColumn="1" w:lastColumn="0" w:oddVBand="0" w:evenVBand="0" w:oddHBand="0" w:evenHBand="0" w:firstRowFirstColumn="0" w:firstRowLastColumn="0" w:lastRowFirstColumn="0" w:lastRowLastColumn="0"/>
            <w:tcW w:w="2880" w:type="dxa"/>
          </w:tcPr>
          <w:p w14:paraId="16D62E75" w14:textId="77777777" w:rsidR="00980E15" w:rsidRPr="007A2CD1" w:rsidRDefault="00980E15" w:rsidP="00980E15">
            <w:pPr>
              <w:pStyle w:val="Tabelid"/>
              <w:rPr>
                <w:color w:val="000000"/>
              </w:rPr>
            </w:pPr>
            <w:r w:rsidRPr="007A2CD1">
              <w:rPr>
                <w:color w:val="000000"/>
              </w:rPr>
              <w:t>3. Esmase ja teisese tulu bilanss</w:t>
            </w:r>
          </w:p>
        </w:tc>
        <w:tc>
          <w:tcPr>
            <w:tcW w:w="937" w:type="dxa"/>
            <w:vAlign w:val="center"/>
          </w:tcPr>
          <w:p w14:paraId="31C1022A" w14:textId="7D893AB8" w:rsidR="00980E15" w:rsidRPr="007A2CD1" w:rsidRDefault="00980E15"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-2,5</w:t>
            </w:r>
          </w:p>
        </w:tc>
        <w:tc>
          <w:tcPr>
            <w:tcW w:w="937" w:type="dxa"/>
            <w:vAlign w:val="center"/>
          </w:tcPr>
          <w:p w14:paraId="547CDFEC" w14:textId="31A406C4" w:rsidR="00980E15" w:rsidRPr="007A2CD1" w:rsidRDefault="00980E15"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-0,7</w:t>
            </w:r>
          </w:p>
        </w:tc>
        <w:tc>
          <w:tcPr>
            <w:tcW w:w="937" w:type="dxa"/>
            <w:vAlign w:val="center"/>
          </w:tcPr>
          <w:p w14:paraId="55A73255" w14:textId="4779E08B" w:rsidR="00980E15" w:rsidRPr="007A2CD1" w:rsidRDefault="00980E15"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-1,5</w:t>
            </w:r>
          </w:p>
        </w:tc>
        <w:tc>
          <w:tcPr>
            <w:tcW w:w="937" w:type="dxa"/>
            <w:vAlign w:val="center"/>
          </w:tcPr>
          <w:p w14:paraId="0A42B94E" w14:textId="2E1B57D9" w:rsidR="00980E15" w:rsidRPr="007A2CD1" w:rsidRDefault="00980E15"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-1,5</w:t>
            </w:r>
          </w:p>
        </w:tc>
        <w:tc>
          <w:tcPr>
            <w:tcW w:w="937" w:type="dxa"/>
            <w:vAlign w:val="center"/>
          </w:tcPr>
          <w:p w14:paraId="3CCB9152" w14:textId="00BB5F02" w:rsidR="00980E15" w:rsidRPr="007A2CD1" w:rsidRDefault="00980E15"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-1,8</w:t>
            </w:r>
          </w:p>
        </w:tc>
        <w:tc>
          <w:tcPr>
            <w:tcW w:w="937" w:type="dxa"/>
            <w:vAlign w:val="center"/>
          </w:tcPr>
          <w:p w14:paraId="6892C22A" w14:textId="24FA3FFB" w:rsidR="00980E15" w:rsidRPr="007A2CD1" w:rsidRDefault="00980E15"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-2,1</w:t>
            </w:r>
          </w:p>
        </w:tc>
        <w:tc>
          <w:tcPr>
            <w:tcW w:w="937" w:type="dxa"/>
            <w:vAlign w:val="center"/>
          </w:tcPr>
          <w:p w14:paraId="612FBB1E" w14:textId="41BF944D" w:rsidR="00980E15" w:rsidRPr="007A2CD1" w:rsidRDefault="00980E15"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-2,3</w:t>
            </w:r>
          </w:p>
        </w:tc>
        <w:tc>
          <w:tcPr>
            <w:tcW w:w="937" w:type="dxa"/>
            <w:vAlign w:val="center"/>
          </w:tcPr>
          <w:p w14:paraId="7F2A6362" w14:textId="0A489C4B" w:rsidR="00980E15" w:rsidRPr="007A2CD1" w:rsidRDefault="00980E15"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-2,5</w:t>
            </w:r>
          </w:p>
        </w:tc>
      </w:tr>
      <w:tr w:rsidR="0016466E" w:rsidRPr="007A2CD1" w14:paraId="7C592091" w14:textId="77777777" w:rsidTr="00675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0F7F0B00" w14:textId="77777777" w:rsidR="0016466E" w:rsidRPr="007A2CD1" w:rsidRDefault="0016466E" w:rsidP="0016466E">
            <w:pPr>
              <w:pStyle w:val="Tabelid"/>
              <w:rPr>
                <w:color w:val="000000"/>
              </w:rPr>
            </w:pPr>
            <w:r w:rsidRPr="007A2CD1">
              <w:rPr>
                <w:color w:val="000000"/>
              </w:rPr>
              <w:t>4. Kapitalikonto</w:t>
            </w:r>
          </w:p>
        </w:tc>
        <w:tc>
          <w:tcPr>
            <w:tcW w:w="937" w:type="dxa"/>
            <w:vAlign w:val="center"/>
          </w:tcPr>
          <w:p w14:paraId="17D5C4FC" w14:textId="21FE33D6" w:rsidR="0016466E" w:rsidRPr="007A2CD1" w:rsidRDefault="0016466E" w:rsidP="0067524A">
            <w:pPr>
              <w:pStyle w:val="Tabelid"/>
              <w:jc w:val="right"/>
              <w:cnfStyle w:val="000000100000" w:firstRow="0" w:lastRow="0" w:firstColumn="0" w:lastColumn="0" w:oddVBand="0" w:evenVBand="0" w:oddHBand="1" w:evenHBand="0" w:firstRowFirstColumn="0" w:firstRowLastColumn="0" w:lastRowFirstColumn="0" w:lastRowLastColumn="0"/>
            </w:pPr>
            <w:r w:rsidRPr="007A2CD1">
              <w:t>2,</w:t>
            </w:r>
            <w:r w:rsidR="00980E15">
              <w:t>0</w:t>
            </w:r>
          </w:p>
        </w:tc>
        <w:tc>
          <w:tcPr>
            <w:tcW w:w="937" w:type="dxa"/>
            <w:vAlign w:val="center"/>
          </w:tcPr>
          <w:p w14:paraId="7EF2C40C" w14:textId="27935563" w:rsidR="0016466E" w:rsidRPr="007A2CD1" w:rsidRDefault="00980E15" w:rsidP="0067524A">
            <w:pPr>
              <w:pStyle w:val="Tabelid"/>
              <w:jc w:val="right"/>
              <w:cnfStyle w:val="000000100000" w:firstRow="0" w:lastRow="0" w:firstColumn="0" w:lastColumn="0" w:oddVBand="0" w:evenVBand="0" w:oddHBand="1" w:evenHBand="0" w:firstRowFirstColumn="0" w:firstRowLastColumn="0" w:lastRowFirstColumn="0" w:lastRowLastColumn="0"/>
            </w:pPr>
            <w:r>
              <w:t>2,1</w:t>
            </w:r>
          </w:p>
        </w:tc>
        <w:tc>
          <w:tcPr>
            <w:tcW w:w="937" w:type="dxa"/>
            <w:vAlign w:val="center"/>
          </w:tcPr>
          <w:p w14:paraId="4257EBA8" w14:textId="5EDD09E4" w:rsidR="0016466E" w:rsidRPr="007A2CD1"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t>9,2</w:t>
            </w:r>
          </w:p>
        </w:tc>
        <w:tc>
          <w:tcPr>
            <w:tcW w:w="937" w:type="dxa"/>
            <w:vAlign w:val="center"/>
          </w:tcPr>
          <w:p w14:paraId="41F86A11" w14:textId="06472440" w:rsidR="0016466E" w:rsidRPr="007A2CD1"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t>1,4</w:t>
            </w:r>
          </w:p>
        </w:tc>
        <w:tc>
          <w:tcPr>
            <w:tcW w:w="937" w:type="dxa"/>
            <w:vAlign w:val="center"/>
          </w:tcPr>
          <w:p w14:paraId="7209E670" w14:textId="0FB5A25E" w:rsidR="0016466E" w:rsidRPr="007A2CD1" w:rsidRDefault="0016466E" w:rsidP="0067524A">
            <w:pPr>
              <w:pStyle w:val="Tabelid"/>
              <w:jc w:val="right"/>
              <w:cnfStyle w:val="000000100000" w:firstRow="0" w:lastRow="0" w:firstColumn="0" w:lastColumn="0" w:oddVBand="0" w:evenVBand="0" w:oddHBand="1" w:evenHBand="0" w:firstRowFirstColumn="0" w:firstRowLastColumn="0" w:lastRowFirstColumn="0" w:lastRowLastColumn="0"/>
            </w:pPr>
            <w:r w:rsidRPr="00F76C4E">
              <w:t>2,</w:t>
            </w:r>
            <w:r w:rsidR="0067524A">
              <w:t>0</w:t>
            </w:r>
          </w:p>
        </w:tc>
        <w:tc>
          <w:tcPr>
            <w:tcW w:w="937" w:type="dxa"/>
            <w:vAlign w:val="center"/>
          </w:tcPr>
          <w:p w14:paraId="00DA55D8" w14:textId="3E60549C" w:rsidR="0016466E" w:rsidRPr="007A2CD1"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t>1,6</w:t>
            </w:r>
          </w:p>
        </w:tc>
        <w:tc>
          <w:tcPr>
            <w:tcW w:w="937" w:type="dxa"/>
            <w:vAlign w:val="center"/>
          </w:tcPr>
          <w:p w14:paraId="531BFC62" w14:textId="1DA7E0F3" w:rsidR="0016466E" w:rsidRPr="007A2CD1" w:rsidRDefault="0016466E" w:rsidP="0067524A">
            <w:pPr>
              <w:pStyle w:val="Tabelid"/>
              <w:jc w:val="right"/>
              <w:cnfStyle w:val="000000100000" w:firstRow="0" w:lastRow="0" w:firstColumn="0" w:lastColumn="0" w:oddVBand="0" w:evenVBand="0" w:oddHBand="1" w:evenHBand="0" w:firstRowFirstColumn="0" w:firstRowLastColumn="0" w:lastRowFirstColumn="0" w:lastRowLastColumn="0"/>
            </w:pPr>
            <w:r w:rsidRPr="00F76C4E">
              <w:t>1,</w:t>
            </w:r>
            <w:r w:rsidR="0067524A">
              <w:t>4</w:t>
            </w:r>
          </w:p>
        </w:tc>
        <w:tc>
          <w:tcPr>
            <w:tcW w:w="937" w:type="dxa"/>
            <w:vAlign w:val="center"/>
          </w:tcPr>
          <w:p w14:paraId="73AE2F4A" w14:textId="3D164C05" w:rsidR="0016466E" w:rsidRPr="007A2CD1"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t>1,7</w:t>
            </w:r>
          </w:p>
        </w:tc>
      </w:tr>
      <w:tr w:rsidR="0016466E" w:rsidRPr="007A2CD1" w14:paraId="12E4EABD" w14:textId="77777777" w:rsidTr="001D2FB3">
        <w:tc>
          <w:tcPr>
            <w:cnfStyle w:val="001000000000" w:firstRow="0" w:lastRow="0" w:firstColumn="1" w:lastColumn="0" w:oddVBand="0" w:evenVBand="0" w:oddHBand="0" w:evenHBand="0" w:firstRowFirstColumn="0" w:firstRowLastColumn="0" w:lastRowFirstColumn="0" w:lastRowLastColumn="0"/>
            <w:tcW w:w="2880" w:type="dxa"/>
          </w:tcPr>
          <w:p w14:paraId="02435018" w14:textId="77777777" w:rsidR="0016466E" w:rsidRPr="007A2CD1" w:rsidRDefault="0016466E" w:rsidP="0016466E">
            <w:pPr>
              <w:pStyle w:val="Tabelid"/>
              <w:rPr>
                <w:color w:val="000000"/>
              </w:rPr>
            </w:pPr>
            <w:r w:rsidRPr="007A2CD1">
              <w:rPr>
                <w:color w:val="000000"/>
              </w:rPr>
              <w:t>5. Vead ja täpsustused</w:t>
            </w:r>
          </w:p>
        </w:tc>
        <w:tc>
          <w:tcPr>
            <w:tcW w:w="937" w:type="dxa"/>
          </w:tcPr>
          <w:p w14:paraId="6B644E1B" w14:textId="0D1ABCB0" w:rsidR="0016466E" w:rsidRPr="0006521C" w:rsidRDefault="0006521C" w:rsidP="0006521C">
            <w:pPr>
              <w:pStyle w:val="Tabelid"/>
              <w:jc w:val="right"/>
              <w:cnfStyle w:val="000000000000" w:firstRow="0" w:lastRow="0" w:firstColumn="0" w:lastColumn="0" w:oddVBand="0" w:evenVBand="0" w:oddHBand="0" w:evenHBand="0" w:firstRowFirstColumn="0" w:firstRowLastColumn="0" w:lastRowFirstColumn="0" w:lastRowLastColumn="0"/>
            </w:pPr>
            <w:r w:rsidRPr="0006521C">
              <w:t>-</w:t>
            </w:r>
            <w:r w:rsidR="0016466E" w:rsidRPr="0006521C">
              <w:t>0,1</w:t>
            </w:r>
          </w:p>
        </w:tc>
        <w:tc>
          <w:tcPr>
            <w:tcW w:w="937" w:type="dxa"/>
          </w:tcPr>
          <w:p w14:paraId="02155428" w14:textId="5BC76FD9" w:rsidR="0016466E" w:rsidRPr="0006521C" w:rsidRDefault="0006521C" w:rsidP="0006521C">
            <w:pPr>
              <w:pStyle w:val="Tabelid"/>
              <w:jc w:val="right"/>
              <w:cnfStyle w:val="000000000000" w:firstRow="0" w:lastRow="0" w:firstColumn="0" w:lastColumn="0" w:oddVBand="0" w:evenVBand="0" w:oddHBand="0" w:evenHBand="0" w:firstRowFirstColumn="0" w:firstRowLastColumn="0" w:lastRowFirstColumn="0" w:lastRowLastColumn="0"/>
            </w:pPr>
            <w:r w:rsidRPr="0006521C">
              <w:t>-1,5</w:t>
            </w:r>
          </w:p>
        </w:tc>
        <w:tc>
          <w:tcPr>
            <w:tcW w:w="937" w:type="dxa"/>
            <w:vAlign w:val="center"/>
          </w:tcPr>
          <w:p w14:paraId="074A2DC5" w14:textId="6E5B3C48" w:rsidR="0016466E" w:rsidRPr="0006521C" w:rsidRDefault="0016466E" w:rsidP="0006521C">
            <w:pPr>
              <w:pStyle w:val="Tabelid"/>
              <w:jc w:val="right"/>
              <w:cnfStyle w:val="000000000000" w:firstRow="0" w:lastRow="0" w:firstColumn="0" w:lastColumn="0" w:oddVBand="0" w:evenVBand="0" w:oddHBand="0" w:evenHBand="0" w:firstRowFirstColumn="0" w:firstRowLastColumn="0" w:lastRowFirstColumn="0" w:lastRowLastColumn="0"/>
            </w:pPr>
            <w:r w:rsidRPr="0006521C">
              <w:t>-</w:t>
            </w:r>
            <w:r w:rsidR="0006521C" w:rsidRPr="0006521C">
              <w:t>1,3</w:t>
            </w:r>
          </w:p>
        </w:tc>
        <w:tc>
          <w:tcPr>
            <w:tcW w:w="937" w:type="dxa"/>
            <w:vAlign w:val="center"/>
          </w:tcPr>
          <w:p w14:paraId="43CA8AA0" w14:textId="4A3435C7" w:rsidR="0016466E" w:rsidRPr="007A2CD1" w:rsidRDefault="0016466E" w:rsidP="0016466E">
            <w:pPr>
              <w:pStyle w:val="Tabelid"/>
              <w:cnfStyle w:val="000000000000" w:firstRow="0" w:lastRow="0" w:firstColumn="0" w:lastColumn="0" w:oddVBand="0" w:evenVBand="0" w:oddHBand="0" w:evenHBand="0" w:firstRowFirstColumn="0" w:firstRowLastColumn="0" w:lastRowFirstColumn="0" w:lastRowLastColumn="0"/>
            </w:pPr>
            <w:r w:rsidRPr="00F76C4E">
              <w:t> </w:t>
            </w:r>
          </w:p>
        </w:tc>
        <w:tc>
          <w:tcPr>
            <w:tcW w:w="937" w:type="dxa"/>
            <w:vAlign w:val="center"/>
          </w:tcPr>
          <w:p w14:paraId="4C350577" w14:textId="4FFFEBA2" w:rsidR="0016466E" w:rsidRPr="007A2CD1" w:rsidRDefault="0016466E" w:rsidP="0016466E">
            <w:pPr>
              <w:pStyle w:val="Tabelid"/>
              <w:cnfStyle w:val="000000000000" w:firstRow="0" w:lastRow="0" w:firstColumn="0" w:lastColumn="0" w:oddVBand="0" w:evenVBand="0" w:oddHBand="0" w:evenHBand="0" w:firstRowFirstColumn="0" w:firstRowLastColumn="0" w:lastRowFirstColumn="0" w:lastRowLastColumn="0"/>
            </w:pPr>
            <w:r w:rsidRPr="00F76C4E">
              <w:t> </w:t>
            </w:r>
          </w:p>
        </w:tc>
        <w:tc>
          <w:tcPr>
            <w:tcW w:w="937" w:type="dxa"/>
            <w:vAlign w:val="center"/>
          </w:tcPr>
          <w:p w14:paraId="291F7F9F" w14:textId="27FF859D" w:rsidR="0016466E" w:rsidRPr="007A2CD1" w:rsidRDefault="0016466E" w:rsidP="0016466E">
            <w:pPr>
              <w:pStyle w:val="Tabelid"/>
              <w:cnfStyle w:val="000000000000" w:firstRow="0" w:lastRow="0" w:firstColumn="0" w:lastColumn="0" w:oddVBand="0" w:evenVBand="0" w:oddHBand="0" w:evenHBand="0" w:firstRowFirstColumn="0" w:firstRowLastColumn="0" w:lastRowFirstColumn="0" w:lastRowLastColumn="0"/>
            </w:pPr>
            <w:r w:rsidRPr="00F76C4E">
              <w:t> </w:t>
            </w:r>
          </w:p>
        </w:tc>
        <w:tc>
          <w:tcPr>
            <w:tcW w:w="937" w:type="dxa"/>
            <w:vAlign w:val="center"/>
          </w:tcPr>
          <w:p w14:paraId="386FC4FD" w14:textId="10B590C2" w:rsidR="0016466E" w:rsidRPr="007A2CD1" w:rsidRDefault="0016466E" w:rsidP="0016466E">
            <w:pPr>
              <w:pStyle w:val="Tabelid"/>
              <w:cnfStyle w:val="000000000000" w:firstRow="0" w:lastRow="0" w:firstColumn="0" w:lastColumn="0" w:oddVBand="0" w:evenVBand="0" w:oddHBand="0" w:evenHBand="0" w:firstRowFirstColumn="0" w:firstRowLastColumn="0" w:lastRowFirstColumn="0" w:lastRowLastColumn="0"/>
            </w:pPr>
            <w:r w:rsidRPr="00F76C4E">
              <w:t> </w:t>
            </w:r>
          </w:p>
        </w:tc>
        <w:tc>
          <w:tcPr>
            <w:tcW w:w="937" w:type="dxa"/>
            <w:vAlign w:val="center"/>
          </w:tcPr>
          <w:p w14:paraId="32E4E9AA" w14:textId="207F2936" w:rsidR="0016466E" w:rsidRPr="007A2CD1" w:rsidRDefault="0016466E" w:rsidP="0016466E">
            <w:pPr>
              <w:pStyle w:val="Tabelid"/>
              <w:cnfStyle w:val="000000000000" w:firstRow="0" w:lastRow="0" w:firstColumn="0" w:lastColumn="0" w:oddVBand="0" w:evenVBand="0" w:oddHBand="0" w:evenHBand="0" w:firstRowFirstColumn="0" w:firstRowLastColumn="0" w:lastRowFirstColumn="0" w:lastRowLastColumn="0"/>
            </w:pPr>
            <w:r w:rsidRPr="00F76C4E">
              <w:t> </w:t>
            </w:r>
          </w:p>
        </w:tc>
      </w:tr>
    </w:tbl>
    <w:p w14:paraId="730E0F2D" w14:textId="77777777" w:rsidR="00831AD9" w:rsidRPr="007A2CD1" w:rsidRDefault="00831AD9" w:rsidP="00831AD9">
      <w:pPr>
        <w:pStyle w:val="Phitekst"/>
      </w:pPr>
    </w:p>
    <w:p w14:paraId="7E66997B" w14:textId="5AC9C031" w:rsidR="00831AD9" w:rsidRPr="00E54FF2" w:rsidRDefault="00831AD9" w:rsidP="00E54FF2">
      <w:pPr>
        <w:pStyle w:val="Pealdis"/>
      </w:pPr>
      <w:bookmarkStart w:id="175" w:name="_Ref511654389"/>
      <w:bookmarkStart w:id="176" w:name="_Toc4502670"/>
      <w:bookmarkStart w:id="177" w:name="_Toc100230294"/>
      <w:r w:rsidRPr="00E54FF2">
        <w:t xml:space="preserve">Tabel </w:t>
      </w:r>
      <w:fldSimple w:instr=" SEQ Tabel \* ARABIC ">
        <w:r w:rsidR="000C04EE">
          <w:rPr>
            <w:noProof/>
          </w:rPr>
          <w:t>9</w:t>
        </w:r>
      </w:fldSimple>
      <w:bookmarkEnd w:id="175"/>
      <w:r w:rsidRPr="00E54FF2">
        <w:t>. Riskistsenaarium</w:t>
      </w:r>
      <w:bookmarkEnd w:id="176"/>
      <w:bookmarkEnd w:id="177"/>
    </w:p>
    <w:tbl>
      <w:tblPr>
        <w:tblStyle w:val="Peentabel1"/>
        <w:tblW w:w="0" w:type="auto"/>
        <w:tblLayout w:type="fixed"/>
        <w:tblLook w:val="00A0" w:firstRow="1" w:lastRow="0" w:firstColumn="1" w:lastColumn="0" w:noHBand="0" w:noVBand="0"/>
      </w:tblPr>
      <w:tblGrid>
        <w:gridCol w:w="2880"/>
        <w:gridCol w:w="937"/>
        <w:gridCol w:w="937"/>
        <w:gridCol w:w="937"/>
        <w:gridCol w:w="937"/>
        <w:gridCol w:w="937"/>
        <w:gridCol w:w="937"/>
        <w:gridCol w:w="937"/>
      </w:tblGrid>
      <w:tr w:rsidR="00831AD9" w:rsidRPr="005822EA" w14:paraId="697E685E" w14:textId="77777777" w:rsidTr="00515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411AF4E7" w14:textId="77777777" w:rsidR="00831AD9" w:rsidRPr="005822EA" w:rsidRDefault="00831AD9" w:rsidP="005150BF">
            <w:pPr>
              <w:pStyle w:val="Tabelid"/>
            </w:pPr>
          </w:p>
        </w:tc>
        <w:tc>
          <w:tcPr>
            <w:tcW w:w="3748" w:type="dxa"/>
            <w:gridSpan w:val="4"/>
          </w:tcPr>
          <w:p w14:paraId="42320714" w14:textId="77777777" w:rsidR="00831AD9" w:rsidRPr="005822EA" w:rsidRDefault="00831AD9" w:rsidP="005150BF">
            <w:pPr>
              <w:pStyle w:val="Tabelid"/>
              <w:cnfStyle w:val="100000000000" w:firstRow="1" w:lastRow="0" w:firstColumn="0" w:lastColumn="0" w:oddVBand="0" w:evenVBand="0" w:oddHBand="0" w:evenHBand="0" w:firstRowFirstColumn="0" w:firstRowLastColumn="0" w:lastRowFirstColumn="0" w:lastRowLastColumn="0"/>
            </w:pPr>
            <w:r w:rsidRPr="005822EA">
              <w:t>Riskistsenaarium</w:t>
            </w:r>
          </w:p>
        </w:tc>
        <w:tc>
          <w:tcPr>
            <w:tcW w:w="2811" w:type="dxa"/>
            <w:gridSpan w:val="3"/>
          </w:tcPr>
          <w:p w14:paraId="144656D8" w14:textId="77777777" w:rsidR="00831AD9" w:rsidRPr="005822EA" w:rsidRDefault="00831AD9" w:rsidP="005150BF">
            <w:pPr>
              <w:pStyle w:val="Tabelid"/>
              <w:cnfStyle w:val="100000000000" w:firstRow="1" w:lastRow="0" w:firstColumn="0" w:lastColumn="0" w:oddVBand="0" w:evenVBand="0" w:oddHBand="0" w:evenHBand="0" w:firstRowFirstColumn="0" w:firstRowLastColumn="0" w:lastRowFirstColumn="0" w:lastRowLastColumn="0"/>
            </w:pPr>
            <w:r w:rsidRPr="005822EA">
              <w:t>Erinevus baasprognoosist</w:t>
            </w:r>
          </w:p>
        </w:tc>
      </w:tr>
      <w:tr w:rsidR="0016466E" w:rsidRPr="005822EA" w14:paraId="210F70D3" w14:textId="77777777" w:rsidTr="00515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3176DE6D" w14:textId="77777777" w:rsidR="0016466E" w:rsidRPr="005822EA" w:rsidRDefault="0016466E" w:rsidP="0016466E">
            <w:pPr>
              <w:pStyle w:val="Tabelid"/>
              <w:keepNext/>
            </w:pPr>
            <w:r w:rsidRPr="005822EA">
              <w:t>%</w:t>
            </w:r>
          </w:p>
        </w:tc>
        <w:tc>
          <w:tcPr>
            <w:tcW w:w="937" w:type="dxa"/>
            <w:vAlign w:val="center"/>
          </w:tcPr>
          <w:p w14:paraId="383FD43D" w14:textId="50826908" w:rsidR="0016466E" w:rsidRPr="005822EA" w:rsidRDefault="0016466E" w:rsidP="0016466E">
            <w:pPr>
              <w:pStyle w:val="Tabelid"/>
              <w:jc w:val="right"/>
              <w:cnfStyle w:val="000000100000" w:firstRow="0" w:lastRow="0" w:firstColumn="0" w:lastColumn="0" w:oddVBand="0" w:evenVBand="0" w:oddHBand="1" w:evenHBand="0" w:firstRowFirstColumn="0" w:firstRowLastColumn="0" w:lastRowFirstColumn="0" w:lastRowLastColumn="0"/>
            </w:pPr>
            <w:r w:rsidRPr="005822EA">
              <w:t>202</w:t>
            </w:r>
            <w:r w:rsidR="0067524A">
              <w:t>1</w:t>
            </w:r>
          </w:p>
        </w:tc>
        <w:tc>
          <w:tcPr>
            <w:tcW w:w="937" w:type="dxa"/>
            <w:vAlign w:val="center"/>
          </w:tcPr>
          <w:p w14:paraId="03BDFD6F" w14:textId="5C45636B" w:rsidR="0016466E" w:rsidRPr="005822EA" w:rsidRDefault="0016466E" w:rsidP="0016466E">
            <w:pPr>
              <w:pStyle w:val="Tabelid"/>
              <w:jc w:val="right"/>
              <w:cnfStyle w:val="000000100000" w:firstRow="0" w:lastRow="0" w:firstColumn="0" w:lastColumn="0" w:oddVBand="0" w:evenVBand="0" w:oddHBand="1" w:evenHBand="0" w:firstRowFirstColumn="0" w:firstRowLastColumn="0" w:lastRowFirstColumn="0" w:lastRowLastColumn="0"/>
            </w:pPr>
            <w:r w:rsidRPr="005822EA">
              <w:t>202</w:t>
            </w:r>
            <w:r w:rsidR="0067524A">
              <w:t>2</w:t>
            </w:r>
          </w:p>
        </w:tc>
        <w:tc>
          <w:tcPr>
            <w:tcW w:w="937" w:type="dxa"/>
            <w:vAlign w:val="center"/>
          </w:tcPr>
          <w:p w14:paraId="2AB03390" w14:textId="46F4F61A" w:rsidR="0016466E" w:rsidRPr="005822EA" w:rsidRDefault="0016466E" w:rsidP="0016466E">
            <w:pPr>
              <w:pStyle w:val="Tabelid"/>
              <w:jc w:val="right"/>
              <w:cnfStyle w:val="000000100000" w:firstRow="0" w:lastRow="0" w:firstColumn="0" w:lastColumn="0" w:oddVBand="0" w:evenVBand="0" w:oddHBand="1" w:evenHBand="0" w:firstRowFirstColumn="0" w:firstRowLastColumn="0" w:lastRowFirstColumn="0" w:lastRowLastColumn="0"/>
            </w:pPr>
            <w:r w:rsidRPr="005822EA">
              <w:t>202</w:t>
            </w:r>
            <w:r w:rsidR="0067524A">
              <w:t>3</w:t>
            </w:r>
          </w:p>
        </w:tc>
        <w:tc>
          <w:tcPr>
            <w:tcW w:w="937" w:type="dxa"/>
            <w:vAlign w:val="center"/>
          </w:tcPr>
          <w:p w14:paraId="44B6E38B" w14:textId="04E7DD4D" w:rsidR="0016466E" w:rsidRPr="005822EA" w:rsidRDefault="0016466E" w:rsidP="0016466E">
            <w:pPr>
              <w:pStyle w:val="Tabelid"/>
              <w:jc w:val="right"/>
              <w:cnfStyle w:val="000000100000" w:firstRow="0" w:lastRow="0" w:firstColumn="0" w:lastColumn="0" w:oddVBand="0" w:evenVBand="0" w:oddHBand="1" w:evenHBand="0" w:firstRowFirstColumn="0" w:firstRowLastColumn="0" w:lastRowFirstColumn="0" w:lastRowLastColumn="0"/>
            </w:pPr>
            <w:r w:rsidRPr="005822EA">
              <w:t>202</w:t>
            </w:r>
            <w:r w:rsidR="0067524A">
              <w:t>4</w:t>
            </w:r>
          </w:p>
        </w:tc>
        <w:tc>
          <w:tcPr>
            <w:tcW w:w="937" w:type="dxa"/>
            <w:vAlign w:val="center"/>
          </w:tcPr>
          <w:p w14:paraId="3744293B" w14:textId="7757F9A3" w:rsidR="0016466E" w:rsidRPr="005822EA" w:rsidRDefault="0016466E" w:rsidP="0016466E">
            <w:pPr>
              <w:pStyle w:val="Tabelid"/>
              <w:jc w:val="right"/>
              <w:cnfStyle w:val="000000100000" w:firstRow="0" w:lastRow="0" w:firstColumn="0" w:lastColumn="0" w:oddVBand="0" w:evenVBand="0" w:oddHBand="1" w:evenHBand="0" w:firstRowFirstColumn="0" w:firstRowLastColumn="0" w:lastRowFirstColumn="0" w:lastRowLastColumn="0"/>
            </w:pPr>
            <w:r w:rsidRPr="005822EA">
              <w:t>202</w:t>
            </w:r>
            <w:r w:rsidR="0067524A">
              <w:t>2</w:t>
            </w:r>
          </w:p>
        </w:tc>
        <w:tc>
          <w:tcPr>
            <w:tcW w:w="937" w:type="dxa"/>
            <w:vAlign w:val="center"/>
          </w:tcPr>
          <w:p w14:paraId="4CEE9F30" w14:textId="70D416C2" w:rsidR="0016466E" w:rsidRPr="005822EA" w:rsidRDefault="0016466E" w:rsidP="0016466E">
            <w:pPr>
              <w:pStyle w:val="Tabelid"/>
              <w:jc w:val="right"/>
              <w:cnfStyle w:val="000000100000" w:firstRow="0" w:lastRow="0" w:firstColumn="0" w:lastColumn="0" w:oddVBand="0" w:evenVBand="0" w:oddHBand="1" w:evenHBand="0" w:firstRowFirstColumn="0" w:firstRowLastColumn="0" w:lastRowFirstColumn="0" w:lastRowLastColumn="0"/>
            </w:pPr>
            <w:r w:rsidRPr="005822EA">
              <w:t>202</w:t>
            </w:r>
            <w:r w:rsidR="0067524A">
              <w:t>3</w:t>
            </w:r>
          </w:p>
        </w:tc>
        <w:tc>
          <w:tcPr>
            <w:tcW w:w="937" w:type="dxa"/>
            <w:vAlign w:val="center"/>
          </w:tcPr>
          <w:p w14:paraId="795DDDB5" w14:textId="3DB6D1EA" w:rsidR="0016466E" w:rsidRPr="005822EA" w:rsidRDefault="0016466E" w:rsidP="0016466E">
            <w:pPr>
              <w:pStyle w:val="Tabelid"/>
              <w:jc w:val="right"/>
              <w:cnfStyle w:val="000000100000" w:firstRow="0" w:lastRow="0" w:firstColumn="0" w:lastColumn="0" w:oddVBand="0" w:evenVBand="0" w:oddHBand="1" w:evenHBand="0" w:firstRowFirstColumn="0" w:firstRowLastColumn="0" w:lastRowFirstColumn="0" w:lastRowLastColumn="0"/>
            </w:pPr>
            <w:r w:rsidRPr="005822EA">
              <w:t>202</w:t>
            </w:r>
            <w:r w:rsidR="0067524A">
              <w:t>4</w:t>
            </w:r>
          </w:p>
        </w:tc>
      </w:tr>
      <w:tr w:rsidR="0067524A" w:rsidRPr="005822EA" w14:paraId="3DCA2D21" w14:textId="77777777" w:rsidTr="005150BF">
        <w:trPr>
          <w:trHeight w:val="270"/>
        </w:trPr>
        <w:tc>
          <w:tcPr>
            <w:cnfStyle w:val="001000000000" w:firstRow="0" w:lastRow="0" w:firstColumn="1" w:lastColumn="0" w:oddVBand="0" w:evenVBand="0" w:oddHBand="0" w:evenHBand="0" w:firstRowFirstColumn="0" w:firstRowLastColumn="0" w:lastRowFirstColumn="0" w:lastRowLastColumn="0"/>
            <w:tcW w:w="2880" w:type="dxa"/>
          </w:tcPr>
          <w:p w14:paraId="68682318" w14:textId="77777777" w:rsidR="0067524A" w:rsidRPr="005822EA" w:rsidRDefault="0067524A" w:rsidP="0067524A">
            <w:pPr>
              <w:pStyle w:val="Tabelid"/>
              <w:keepNext/>
            </w:pPr>
            <w:r w:rsidRPr="005822EA">
              <w:rPr>
                <w:color w:val="000000"/>
              </w:rPr>
              <w:t>1. SKP jooksevhindades</w:t>
            </w:r>
          </w:p>
        </w:tc>
        <w:tc>
          <w:tcPr>
            <w:tcW w:w="937" w:type="dxa"/>
            <w:vAlign w:val="center"/>
          </w:tcPr>
          <w:p w14:paraId="7E1744C1" w14:textId="0A31C714"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30,7</w:t>
            </w:r>
          </w:p>
        </w:tc>
        <w:tc>
          <w:tcPr>
            <w:tcW w:w="937" w:type="dxa"/>
            <w:vAlign w:val="center"/>
          </w:tcPr>
          <w:p w14:paraId="5DB595AD" w14:textId="7D99DB95"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33,4</w:t>
            </w:r>
          </w:p>
        </w:tc>
        <w:tc>
          <w:tcPr>
            <w:tcW w:w="937" w:type="dxa"/>
            <w:vAlign w:val="center"/>
          </w:tcPr>
          <w:p w14:paraId="1A3BE78A" w14:textId="4C3F83F1"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34,7</w:t>
            </w:r>
          </w:p>
        </w:tc>
        <w:tc>
          <w:tcPr>
            <w:tcW w:w="937" w:type="dxa"/>
            <w:vAlign w:val="center"/>
          </w:tcPr>
          <w:p w14:paraId="072E5CDF" w14:textId="407A749C"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36,7</w:t>
            </w:r>
          </w:p>
        </w:tc>
        <w:tc>
          <w:tcPr>
            <w:tcW w:w="937" w:type="dxa"/>
            <w:vAlign w:val="center"/>
          </w:tcPr>
          <w:p w14:paraId="18AD9248" w14:textId="6CDC6BAE"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0,7</w:t>
            </w:r>
          </w:p>
        </w:tc>
        <w:tc>
          <w:tcPr>
            <w:tcW w:w="937" w:type="dxa"/>
            <w:vAlign w:val="center"/>
          </w:tcPr>
          <w:p w14:paraId="55D1A1A2" w14:textId="4C835199"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0,8</w:t>
            </w:r>
          </w:p>
        </w:tc>
        <w:tc>
          <w:tcPr>
            <w:tcW w:w="937" w:type="dxa"/>
            <w:vAlign w:val="center"/>
          </w:tcPr>
          <w:p w14:paraId="663296A5" w14:textId="3D9BED3D"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1,1</w:t>
            </w:r>
          </w:p>
        </w:tc>
      </w:tr>
      <w:tr w:rsidR="0067524A" w:rsidRPr="005822EA" w14:paraId="5EBE4F81" w14:textId="77777777" w:rsidTr="00515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10322821" w14:textId="77777777" w:rsidR="0067524A" w:rsidRPr="005822EA" w:rsidRDefault="0067524A" w:rsidP="0067524A">
            <w:pPr>
              <w:pStyle w:val="Tabelid"/>
              <w:keepNext/>
            </w:pPr>
            <w:r w:rsidRPr="005822EA">
              <w:rPr>
                <w:color w:val="000000"/>
              </w:rPr>
              <w:t>2. SKP reaalkasv</w:t>
            </w:r>
          </w:p>
        </w:tc>
        <w:tc>
          <w:tcPr>
            <w:tcW w:w="937" w:type="dxa"/>
            <w:vAlign w:val="center"/>
          </w:tcPr>
          <w:p w14:paraId="6F3A24FF" w14:textId="0809F6D2"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8,3</w:t>
            </w:r>
          </w:p>
        </w:tc>
        <w:tc>
          <w:tcPr>
            <w:tcW w:w="937" w:type="dxa"/>
            <w:vAlign w:val="center"/>
          </w:tcPr>
          <w:p w14:paraId="24AA2E85" w14:textId="3C13A0DE"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1,4</w:t>
            </w:r>
          </w:p>
        </w:tc>
        <w:tc>
          <w:tcPr>
            <w:tcW w:w="937" w:type="dxa"/>
            <w:vAlign w:val="center"/>
          </w:tcPr>
          <w:p w14:paraId="2FC75CBD" w14:textId="5C8C76A8"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1,7</w:t>
            </w:r>
          </w:p>
        </w:tc>
        <w:tc>
          <w:tcPr>
            <w:tcW w:w="937" w:type="dxa"/>
            <w:vAlign w:val="center"/>
          </w:tcPr>
          <w:p w14:paraId="0E3D8FE3" w14:textId="059681B0"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3,5</w:t>
            </w:r>
          </w:p>
        </w:tc>
        <w:tc>
          <w:tcPr>
            <w:tcW w:w="937" w:type="dxa"/>
            <w:vAlign w:val="center"/>
          </w:tcPr>
          <w:p w14:paraId="6AC5A70B" w14:textId="01D1437B"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2,4</w:t>
            </w:r>
          </w:p>
        </w:tc>
        <w:tc>
          <w:tcPr>
            <w:tcW w:w="937" w:type="dxa"/>
            <w:vAlign w:val="center"/>
          </w:tcPr>
          <w:p w14:paraId="3BA637F3" w14:textId="7D1BEC9A"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0,5</w:t>
            </w:r>
          </w:p>
        </w:tc>
        <w:tc>
          <w:tcPr>
            <w:tcW w:w="937" w:type="dxa"/>
            <w:vAlign w:val="center"/>
          </w:tcPr>
          <w:p w14:paraId="72BD2EEE" w14:textId="3B209814"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0,3</w:t>
            </w:r>
          </w:p>
        </w:tc>
      </w:tr>
      <w:tr w:rsidR="0067524A" w:rsidRPr="005822EA" w14:paraId="18625A6A" w14:textId="77777777" w:rsidTr="005150BF">
        <w:tc>
          <w:tcPr>
            <w:cnfStyle w:val="001000000000" w:firstRow="0" w:lastRow="0" w:firstColumn="1" w:lastColumn="0" w:oddVBand="0" w:evenVBand="0" w:oddHBand="0" w:evenHBand="0" w:firstRowFirstColumn="0" w:firstRowLastColumn="0" w:lastRowFirstColumn="0" w:lastRowLastColumn="0"/>
            <w:tcW w:w="2880" w:type="dxa"/>
          </w:tcPr>
          <w:p w14:paraId="45FCE932" w14:textId="77777777" w:rsidR="0067524A" w:rsidRPr="005822EA" w:rsidRDefault="0067524A" w:rsidP="0067524A">
            <w:pPr>
              <w:pStyle w:val="Tabelid"/>
              <w:keepNext/>
            </w:pPr>
            <w:r w:rsidRPr="005822EA">
              <w:rPr>
                <w:color w:val="000000"/>
              </w:rPr>
              <w:t>3. SKP nominaalkasv</w:t>
            </w:r>
          </w:p>
        </w:tc>
        <w:tc>
          <w:tcPr>
            <w:tcW w:w="937" w:type="dxa"/>
            <w:vAlign w:val="center"/>
          </w:tcPr>
          <w:p w14:paraId="128AFB22" w14:textId="2B5452F6"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14,3</w:t>
            </w:r>
          </w:p>
        </w:tc>
        <w:tc>
          <w:tcPr>
            <w:tcW w:w="937" w:type="dxa"/>
            <w:vAlign w:val="center"/>
          </w:tcPr>
          <w:p w14:paraId="78D10444" w14:textId="4ED37988"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8,9</w:t>
            </w:r>
          </w:p>
        </w:tc>
        <w:tc>
          <w:tcPr>
            <w:tcW w:w="937" w:type="dxa"/>
            <w:vAlign w:val="center"/>
          </w:tcPr>
          <w:p w14:paraId="059D9865" w14:textId="31C5217D"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4,1</w:t>
            </w:r>
          </w:p>
        </w:tc>
        <w:tc>
          <w:tcPr>
            <w:tcW w:w="937" w:type="dxa"/>
            <w:vAlign w:val="center"/>
          </w:tcPr>
          <w:p w14:paraId="09EC1F8E" w14:textId="60B7BF98"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5,7</w:t>
            </w:r>
          </w:p>
        </w:tc>
        <w:tc>
          <w:tcPr>
            <w:tcW w:w="937" w:type="dxa"/>
            <w:vAlign w:val="center"/>
          </w:tcPr>
          <w:p w14:paraId="42833B4A" w14:textId="5D2562FA"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2,2</w:t>
            </w:r>
          </w:p>
        </w:tc>
        <w:tc>
          <w:tcPr>
            <w:tcW w:w="937" w:type="dxa"/>
            <w:vAlign w:val="center"/>
          </w:tcPr>
          <w:p w14:paraId="3F866245" w14:textId="519EBD6C"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0,4</w:t>
            </w:r>
          </w:p>
        </w:tc>
        <w:tc>
          <w:tcPr>
            <w:tcW w:w="937" w:type="dxa"/>
            <w:vAlign w:val="center"/>
          </w:tcPr>
          <w:p w14:paraId="2174C97C" w14:textId="1067BA32"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0,7</w:t>
            </w:r>
          </w:p>
        </w:tc>
      </w:tr>
      <w:tr w:rsidR="0067524A" w:rsidRPr="005822EA" w14:paraId="3AC0D6D6" w14:textId="77777777" w:rsidTr="00515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1033491C" w14:textId="77777777" w:rsidR="0067524A" w:rsidRPr="005822EA" w:rsidRDefault="0067524A" w:rsidP="0067524A">
            <w:pPr>
              <w:pStyle w:val="Tabelid"/>
              <w:keepNext/>
            </w:pPr>
            <w:r w:rsidRPr="005822EA">
              <w:rPr>
                <w:color w:val="000000"/>
              </w:rPr>
              <w:t>4. THI</w:t>
            </w:r>
          </w:p>
        </w:tc>
        <w:tc>
          <w:tcPr>
            <w:tcW w:w="937" w:type="dxa"/>
            <w:vAlign w:val="center"/>
          </w:tcPr>
          <w:p w14:paraId="1A887E48" w14:textId="2CF17756"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4,6</w:t>
            </w:r>
          </w:p>
        </w:tc>
        <w:tc>
          <w:tcPr>
            <w:tcW w:w="937" w:type="dxa"/>
            <w:vAlign w:val="center"/>
          </w:tcPr>
          <w:p w14:paraId="01615219" w14:textId="1C5F1583"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12,3</w:t>
            </w:r>
          </w:p>
        </w:tc>
        <w:tc>
          <w:tcPr>
            <w:tcW w:w="937" w:type="dxa"/>
            <w:vAlign w:val="center"/>
          </w:tcPr>
          <w:p w14:paraId="0D973691" w14:textId="67697247"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2,4</w:t>
            </w:r>
          </w:p>
        </w:tc>
        <w:tc>
          <w:tcPr>
            <w:tcW w:w="937" w:type="dxa"/>
            <w:vAlign w:val="center"/>
          </w:tcPr>
          <w:p w14:paraId="7D1515F7" w14:textId="086980F1"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1,4</w:t>
            </w:r>
          </w:p>
        </w:tc>
        <w:tc>
          <w:tcPr>
            <w:tcW w:w="937" w:type="dxa"/>
            <w:vAlign w:val="center"/>
          </w:tcPr>
          <w:p w14:paraId="2CF8A067" w14:textId="383995D2"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-0,4</w:t>
            </w:r>
          </w:p>
        </w:tc>
        <w:tc>
          <w:tcPr>
            <w:tcW w:w="937" w:type="dxa"/>
            <w:vAlign w:val="center"/>
          </w:tcPr>
          <w:p w14:paraId="592E4E6E" w14:textId="6063981C"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0,3</w:t>
            </w:r>
          </w:p>
        </w:tc>
        <w:tc>
          <w:tcPr>
            <w:tcW w:w="937" w:type="dxa"/>
            <w:vAlign w:val="center"/>
          </w:tcPr>
          <w:p w14:paraId="6083C8F2" w14:textId="165CAE29"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0,2</w:t>
            </w:r>
          </w:p>
        </w:tc>
      </w:tr>
      <w:tr w:rsidR="0067524A" w:rsidRPr="005822EA" w14:paraId="0C769850" w14:textId="77777777" w:rsidTr="005150BF">
        <w:tc>
          <w:tcPr>
            <w:cnfStyle w:val="001000000000" w:firstRow="0" w:lastRow="0" w:firstColumn="1" w:lastColumn="0" w:oddVBand="0" w:evenVBand="0" w:oddHBand="0" w:evenHBand="0" w:firstRowFirstColumn="0" w:firstRowLastColumn="0" w:lastRowFirstColumn="0" w:lastRowLastColumn="0"/>
            <w:tcW w:w="2880" w:type="dxa"/>
          </w:tcPr>
          <w:p w14:paraId="12FEB14D" w14:textId="77777777" w:rsidR="0067524A" w:rsidRPr="005822EA" w:rsidRDefault="0067524A" w:rsidP="0067524A">
            <w:pPr>
              <w:pStyle w:val="Tabelid"/>
              <w:keepNext/>
            </w:pPr>
            <w:r w:rsidRPr="005822EA">
              <w:rPr>
                <w:color w:val="000000"/>
              </w:rPr>
              <w:t>5. Sisenõudluse reaalkasv</w:t>
            </w:r>
          </w:p>
        </w:tc>
        <w:tc>
          <w:tcPr>
            <w:tcW w:w="937" w:type="dxa"/>
            <w:vAlign w:val="center"/>
          </w:tcPr>
          <w:p w14:paraId="4FE49D7B" w14:textId="0B46984A"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7,6</w:t>
            </w:r>
          </w:p>
        </w:tc>
        <w:tc>
          <w:tcPr>
            <w:tcW w:w="937" w:type="dxa"/>
            <w:vAlign w:val="center"/>
          </w:tcPr>
          <w:p w14:paraId="107A4E9B" w14:textId="5C014DDA"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-2,4</w:t>
            </w:r>
          </w:p>
        </w:tc>
        <w:tc>
          <w:tcPr>
            <w:tcW w:w="937" w:type="dxa"/>
            <w:vAlign w:val="center"/>
          </w:tcPr>
          <w:p w14:paraId="3F263865" w14:textId="620BB2C0"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1,5</w:t>
            </w:r>
          </w:p>
        </w:tc>
        <w:tc>
          <w:tcPr>
            <w:tcW w:w="937" w:type="dxa"/>
            <w:vAlign w:val="center"/>
          </w:tcPr>
          <w:p w14:paraId="384E5B5A" w14:textId="154956F1"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2,3</w:t>
            </w:r>
          </w:p>
        </w:tc>
        <w:tc>
          <w:tcPr>
            <w:tcW w:w="937" w:type="dxa"/>
            <w:vAlign w:val="center"/>
          </w:tcPr>
          <w:p w14:paraId="31134B50" w14:textId="3F6F5663"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2,2</w:t>
            </w:r>
          </w:p>
        </w:tc>
        <w:tc>
          <w:tcPr>
            <w:tcW w:w="937" w:type="dxa"/>
            <w:vAlign w:val="center"/>
          </w:tcPr>
          <w:p w14:paraId="4C3CF7B4" w14:textId="3CC076A0"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0,5</w:t>
            </w:r>
          </w:p>
        </w:tc>
        <w:tc>
          <w:tcPr>
            <w:tcW w:w="937" w:type="dxa"/>
            <w:vAlign w:val="center"/>
          </w:tcPr>
          <w:p w14:paraId="59F7A4B5" w14:textId="44DF8E3A"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0,3</w:t>
            </w:r>
          </w:p>
        </w:tc>
      </w:tr>
      <w:tr w:rsidR="0067524A" w:rsidRPr="005822EA" w14:paraId="52AF4015" w14:textId="77777777" w:rsidTr="00515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3CBDDF66" w14:textId="77777777" w:rsidR="0067524A" w:rsidRPr="005822EA" w:rsidRDefault="0067524A" w:rsidP="0067524A">
            <w:pPr>
              <w:pStyle w:val="Tabelid"/>
              <w:keepNext/>
            </w:pPr>
            <w:r w:rsidRPr="005822EA">
              <w:rPr>
                <w:color w:val="000000"/>
              </w:rPr>
              <w:t>6. Ekspordi reaalkasv</w:t>
            </w:r>
          </w:p>
        </w:tc>
        <w:tc>
          <w:tcPr>
            <w:tcW w:w="937" w:type="dxa"/>
            <w:vAlign w:val="center"/>
          </w:tcPr>
          <w:p w14:paraId="5B301795" w14:textId="372E8D0F"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19,8</w:t>
            </w:r>
          </w:p>
        </w:tc>
        <w:tc>
          <w:tcPr>
            <w:tcW w:w="937" w:type="dxa"/>
            <w:vAlign w:val="center"/>
          </w:tcPr>
          <w:p w14:paraId="5F058C90" w14:textId="0DFBE015"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1,0</w:t>
            </w:r>
          </w:p>
        </w:tc>
        <w:tc>
          <w:tcPr>
            <w:tcW w:w="937" w:type="dxa"/>
            <w:vAlign w:val="center"/>
          </w:tcPr>
          <w:p w14:paraId="72EE5D8E" w14:textId="58065FAC"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3,6</w:t>
            </w:r>
          </w:p>
        </w:tc>
        <w:tc>
          <w:tcPr>
            <w:tcW w:w="937" w:type="dxa"/>
            <w:vAlign w:val="center"/>
          </w:tcPr>
          <w:p w14:paraId="3D880A58" w14:textId="65B47C71"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5,0</w:t>
            </w:r>
          </w:p>
        </w:tc>
        <w:tc>
          <w:tcPr>
            <w:tcW w:w="937" w:type="dxa"/>
            <w:vAlign w:val="center"/>
          </w:tcPr>
          <w:p w14:paraId="2701B241" w14:textId="04ABFE8C"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3,0</w:t>
            </w:r>
          </w:p>
        </w:tc>
        <w:tc>
          <w:tcPr>
            <w:tcW w:w="937" w:type="dxa"/>
            <w:vAlign w:val="center"/>
          </w:tcPr>
          <w:p w14:paraId="07202AC1" w14:textId="1EE54B77"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1,3</w:t>
            </w:r>
          </w:p>
        </w:tc>
        <w:tc>
          <w:tcPr>
            <w:tcW w:w="937" w:type="dxa"/>
            <w:vAlign w:val="center"/>
          </w:tcPr>
          <w:p w14:paraId="7814D7FF" w14:textId="0187C65F"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0,3</w:t>
            </w:r>
          </w:p>
        </w:tc>
      </w:tr>
      <w:tr w:rsidR="0067524A" w:rsidRPr="005822EA" w14:paraId="690B7194" w14:textId="77777777" w:rsidTr="005150BF">
        <w:tc>
          <w:tcPr>
            <w:cnfStyle w:val="001000000000" w:firstRow="0" w:lastRow="0" w:firstColumn="1" w:lastColumn="0" w:oddVBand="0" w:evenVBand="0" w:oddHBand="0" w:evenHBand="0" w:firstRowFirstColumn="0" w:firstRowLastColumn="0" w:lastRowFirstColumn="0" w:lastRowLastColumn="0"/>
            <w:tcW w:w="2880" w:type="dxa"/>
          </w:tcPr>
          <w:p w14:paraId="283A3594" w14:textId="77777777" w:rsidR="0067524A" w:rsidRPr="005822EA" w:rsidRDefault="0067524A" w:rsidP="0067524A">
            <w:pPr>
              <w:pStyle w:val="Tabelid"/>
              <w:keepNext/>
            </w:pPr>
            <w:r w:rsidRPr="005822EA">
              <w:rPr>
                <w:color w:val="000000"/>
              </w:rPr>
              <w:t>7. Tööhõive kasv</w:t>
            </w:r>
          </w:p>
        </w:tc>
        <w:tc>
          <w:tcPr>
            <w:tcW w:w="937" w:type="dxa"/>
            <w:vAlign w:val="center"/>
          </w:tcPr>
          <w:p w14:paraId="5C264156" w14:textId="1EBC7EE5"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-0,5</w:t>
            </w:r>
          </w:p>
        </w:tc>
        <w:tc>
          <w:tcPr>
            <w:tcW w:w="937" w:type="dxa"/>
            <w:vAlign w:val="center"/>
          </w:tcPr>
          <w:p w14:paraId="42A56086" w14:textId="4610CEAD"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0,5</w:t>
            </w:r>
          </w:p>
        </w:tc>
        <w:tc>
          <w:tcPr>
            <w:tcW w:w="937" w:type="dxa"/>
            <w:vAlign w:val="center"/>
          </w:tcPr>
          <w:p w14:paraId="5D74DE2D" w14:textId="57D1B322"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-0,6</w:t>
            </w:r>
          </w:p>
        </w:tc>
        <w:tc>
          <w:tcPr>
            <w:tcW w:w="937" w:type="dxa"/>
            <w:vAlign w:val="center"/>
          </w:tcPr>
          <w:p w14:paraId="677C5AF5" w14:textId="6DF82B76"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0,5</w:t>
            </w:r>
          </w:p>
        </w:tc>
        <w:tc>
          <w:tcPr>
            <w:tcW w:w="937" w:type="dxa"/>
            <w:vAlign w:val="center"/>
          </w:tcPr>
          <w:p w14:paraId="28BA5773" w14:textId="232A6F5E"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0,6</w:t>
            </w:r>
          </w:p>
        </w:tc>
        <w:tc>
          <w:tcPr>
            <w:tcW w:w="937" w:type="dxa"/>
            <w:vAlign w:val="center"/>
          </w:tcPr>
          <w:p w14:paraId="0FB9A694" w14:textId="2FC60E9E"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0,6</w:t>
            </w:r>
          </w:p>
        </w:tc>
        <w:tc>
          <w:tcPr>
            <w:tcW w:w="937" w:type="dxa"/>
            <w:vAlign w:val="center"/>
          </w:tcPr>
          <w:p w14:paraId="60384066" w14:textId="0C900920" w:rsidR="0067524A" w:rsidRPr="005822EA" w:rsidRDefault="0067524A" w:rsidP="0067524A">
            <w:pPr>
              <w:pStyle w:val="Tabelid"/>
              <w:jc w:val="right"/>
              <w:cnfStyle w:val="000000000000" w:firstRow="0" w:lastRow="0" w:firstColumn="0" w:lastColumn="0" w:oddVBand="0" w:evenVBand="0" w:oddHBand="0" w:evenHBand="0" w:firstRowFirstColumn="0" w:firstRowLastColumn="0" w:lastRowFirstColumn="0" w:lastRowLastColumn="0"/>
            </w:pPr>
            <w:r w:rsidRPr="0067524A">
              <w:t>-0,6</w:t>
            </w:r>
          </w:p>
        </w:tc>
      </w:tr>
      <w:tr w:rsidR="0067524A" w:rsidRPr="005822EA" w14:paraId="1359E3D5" w14:textId="77777777" w:rsidTr="00515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77112383" w14:textId="77777777" w:rsidR="0067524A" w:rsidRPr="005822EA" w:rsidRDefault="0067524A" w:rsidP="0067524A">
            <w:pPr>
              <w:pStyle w:val="Tabelid"/>
              <w:keepNext/>
            </w:pPr>
            <w:r w:rsidRPr="005822EA">
              <w:rPr>
                <w:color w:val="000000"/>
              </w:rPr>
              <w:t>8. Palga nominaalkasv</w:t>
            </w:r>
          </w:p>
        </w:tc>
        <w:tc>
          <w:tcPr>
            <w:tcW w:w="937" w:type="dxa"/>
            <w:vAlign w:val="center"/>
          </w:tcPr>
          <w:p w14:paraId="678C563E" w14:textId="74AB837C"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6,8</w:t>
            </w:r>
          </w:p>
        </w:tc>
        <w:tc>
          <w:tcPr>
            <w:tcW w:w="937" w:type="dxa"/>
            <w:vAlign w:val="center"/>
          </w:tcPr>
          <w:p w14:paraId="0DD579E5" w14:textId="1B0BDC13"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7,5</w:t>
            </w:r>
          </w:p>
        </w:tc>
        <w:tc>
          <w:tcPr>
            <w:tcW w:w="937" w:type="dxa"/>
            <w:vAlign w:val="center"/>
          </w:tcPr>
          <w:p w14:paraId="51B1F2D9" w14:textId="6186E46D"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6,3</w:t>
            </w:r>
          </w:p>
        </w:tc>
        <w:tc>
          <w:tcPr>
            <w:tcW w:w="937" w:type="dxa"/>
            <w:vAlign w:val="center"/>
          </w:tcPr>
          <w:p w14:paraId="32BE5290" w14:textId="0EAF7435"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6,1</w:t>
            </w:r>
          </w:p>
        </w:tc>
        <w:tc>
          <w:tcPr>
            <w:tcW w:w="937" w:type="dxa"/>
            <w:vAlign w:val="center"/>
          </w:tcPr>
          <w:p w14:paraId="4A722F16" w14:textId="206BE854"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0,5</w:t>
            </w:r>
          </w:p>
        </w:tc>
        <w:tc>
          <w:tcPr>
            <w:tcW w:w="937" w:type="dxa"/>
            <w:vAlign w:val="center"/>
          </w:tcPr>
          <w:p w14:paraId="1985317E" w14:textId="6EFF637D"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0,7</w:t>
            </w:r>
          </w:p>
        </w:tc>
        <w:tc>
          <w:tcPr>
            <w:tcW w:w="937" w:type="dxa"/>
            <w:vAlign w:val="center"/>
          </w:tcPr>
          <w:p w14:paraId="25C861BA" w14:textId="3A6DC9C4" w:rsidR="0067524A" w:rsidRPr="005822EA" w:rsidRDefault="0067524A" w:rsidP="0067524A">
            <w:pPr>
              <w:pStyle w:val="Tabelid"/>
              <w:jc w:val="right"/>
              <w:cnfStyle w:val="000000100000" w:firstRow="0" w:lastRow="0" w:firstColumn="0" w:lastColumn="0" w:oddVBand="0" w:evenVBand="0" w:oddHBand="1" w:evenHBand="0" w:firstRowFirstColumn="0" w:firstRowLastColumn="0" w:lastRowFirstColumn="0" w:lastRowLastColumn="0"/>
            </w:pPr>
            <w:r w:rsidRPr="0067524A">
              <w:t>2,5</w:t>
            </w:r>
          </w:p>
        </w:tc>
      </w:tr>
    </w:tbl>
    <w:p w14:paraId="7A860BE3" w14:textId="77777777" w:rsidR="00831AD9" w:rsidRPr="005822EA" w:rsidRDefault="00831AD9" w:rsidP="00831AD9">
      <w:pPr>
        <w:pStyle w:val="Mrkus"/>
        <w:jc w:val="both"/>
      </w:pPr>
      <w:r w:rsidRPr="005822EA">
        <w:t>Allikas: Rahandusministeerium, Statistikaamet.</w:t>
      </w:r>
    </w:p>
    <w:bookmarkEnd w:id="161"/>
    <w:p w14:paraId="39F007BB" w14:textId="7D449AA1" w:rsidR="005535E5" w:rsidRDefault="005535E5" w:rsidP="00E66452">
      <w:pPr>
        <w:jc w:val="both"/>
        <w:rPr>
          <w:highlight w:val="yellow"/>
        </w:rPr>
      </w:pPr>
    </w:p>
    <w:p w14:paraId="4BED0594" w14:textId="3E128EB4" w:rsidR="005C246A" w:rsidRDefault="005C246A">
      <w:pPr>
        <w:rPr>
          <w:highlight w:val="yellow"/>
        </w:rPr>
      </w:pPr>
      <w:r>
        <w:rPr>
          <w:highlight w:val="yellow"/>
        </w:rPr>
        <w:br w:type="page"/>
      </w:r>
    </w:p>
    <w:p w14:paraId="17F80E8F" w14:textId="6DADE9C6" w:rsidR="00831AD9" w:rsidRPr="00E748FA" w:rsidRDefault="007B481D" w:rsidP="007B481D">
      <w:pPr>
        <w:pStyle w:val="Pealdis"/>
      </w:pPr>
      <w:bookmarkStart w:id="178" w:name="_Ref81862905"/>
      <w:bookmarkStart w:id="179" w:name="_Ref511394836"/>
      <w:bookmarkStart w:id="180" w:name="_Toc4502672"/>
      <w:bookmarkStart w:id="181" w:name="_Ref68128351"/>
      <w:bookmarkStart w:id="182" w:name="_Ref510624380"/>
      <w:bookmarkStart w:id="183" w:name="_Ref511639665"/>
      <w:bookmarkStart w:id="184" w:name="_Ref511639664"/>
      <w:bookmarkStart w:id="185" w:name="_Toc4502675"/>
      <w:bookmarkStart w:id="186" w:name="_Toc100230295"/>
      <w:bookmarkEnd w:id="162"/>
      <w:r w:rsidRPr="00E748FA">
        <w:lastRenderedPageBreak/>
        <w:t xml:space="preserve">Tabel </w:t>
      </w:r>
      <w:fldSimple w:instr=" SEQ Tabel \* ARABIC ">
        <w:r w:rsidR="000C04EE">
          <w:rPr>
            <w:noProof/>
          </w:rPr>
          <w:t>10</w:t>
        </w:r>
      </w:fldSimple>
      <w:bookmarkEnd w:id="178"/>
      <w:r w:rsidRPr="00E748FA">
        <w:t xml:space="preserve">. </w:t>
      </w:r>
      <w:r w:rsidR="00831AD9" w:rsidRPr="00E748FA">
        <w:t>Valitsussektori eelarve tulud ja kulud 20</w:t>
      </w:r>
      <w:r w:rsidR="00E748FA">
        <w:t>21</w:t>
      </w:r>
      <w:r w:rsidR="00831AD9" w:rsidRPr="00E748FA">
        <w:t>–202</w:t>
      </w:r>
      <w:bookmarkEnd w:id="179"/>
      <w:bookmarkEnd w:id="180"/>
      <w:bookmarkEnd w:id="181"/>
      <w:r w:rsidR="00E748FA">
        <w:t>6</w:t>
      </w:r>
      <w:bookmarkEnd w:id="186"/>
    </w:p>
    <w:tbl>
      <w:tblPr>
        <w:tblStyle w:val="Peentabel1"/>
        <w:tblW w:w="9781" w:type="dxa"/>
        <w:tblLook w:val="04A0" w:firstRow="1" w:lastRow="0" w:firstColumn="1" w:lastColumn="0" w:noHBand="0" w:noVBand="1"/>
      </w:tblPr>
      <w:tblGrid>
        <w:gridCol w:w="3695"/>
        <w:gridCol w:w="1013"/>
        <w:gridCol w:w="845"/>
        <w:gridCol w:w="845"/>
        <w:gridCol w:w="845"/>
        <w:gridCol w:w="845"/>
        <w:gridCol w:w="845"/>
        <w:gridCol w:w="848"/>
      </w:tblGrid>
      <w:tr w:rsidR="00831AD9" w:rsidRPr="00E748FA" w14:paraId="4374F78B" w14:textId="77777777" w:rsidTr="005150BF">
        <w:trPr>
          <w:cnfStyle w:val="100000000000" w:firstRow="1" w:lastRow="0" w:firstColumn="0" w:lastColumn="0" w:oddVBand="0" w:evenVBand="0" w:oddHBand="0"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695" w:type="dxa"/>
            <w:noWrap/>
          </w:tcPr>
          <w:p w14:paraId="22533900" w14:textId="77777777" w:rsidR="00831AD9" w:rsidRPr="00E748FA" w:rsidRDefault="00831AD9" w:rsidP="005150BF">
            <w:pPr>
              <w:pStyle w:val="Tabelid"/>
            </w:pPr>
          </w:p>
        </w:tc>
        <w:tc>
          <w:tcPr>
            <w:tcW w:w="1013" w:type="dxa"/>
          </w:tcPr>
          <w:p w14:paraId="6DBE7F8D" w14:textId="54D5005F" w:rsidR="00831AD9" w:rsidRPr="00E748FA" w:rsidRDefault="00831AD9" w:rsidP="004C5163">
            <w:pPr>
              <w:pStyle w:val="Tabelid"/>
              <w:jc w:val="right"/>
              <w:cnfStyle w:val="100000000000" w:firstRow="1" w:lastRow="0" w:firstColumn="0" w:lastColumn="0" w:oddVBand="0" w:evenVBand="0" w:oddHBand="0" w:evenHBand="0" w:firstRowFirstColumn="0" w:firstRowLastColumn="0" w:lastRowFirstColumn="0" w:lastRowLastColumn="0"/>
              <w:rPr>
                <w:b w:val="0"/>
                <w:bCs/>
              </w:rPr>
            </w:pPr>
            <w:r w:rsidRPr="00E748FA">
              <w:rPr>
                <w:b w:val="0"/>
                <w:bCs/>
              </w:rPr>
              <w:t>202</w:t>
            </w:r>
            <w:r w:rsidR="00E748FA">
              <w:rPr>
                <w:b w:val="0"/>
                <w:bCs/>
              </w:rPr>
              <w:t>1</w:t>
            </w:r>
          </w:p>
        </w:tc>
        <w:tc>
          <w:tcPr>
            <w:tcW w:w="845" w:type="dxa"/>
          </w:tcPr>
          <w:p w14:paraId="40303A29" w14:textId="548696F9" w:rsidR="00831AD9" w:rsidRPr="00E748FA" w:rsidRDefault="00831AD9" w:rsidP="004C5163">
            <w:pPr>
              <w:pStyle w:val="Tabelid"/>
              <w:jc w:val="right"/>
              <w:cnfStyle w:val="100000000000" w:firstRow="1" w:lastRow="0" w:firstColumn="0" w:lastColumn="0" w:oddVBand="0" w:evenVBand="0" w:oddHBand="0" w:evenHBand="0" w:firstRowFirstColumn="0" w:firstRowLastColumn="0" w:lastRowFirstColumn="0" w:lastRowLastColumn="0"/>
              <w:rPr>
                <w:b w:val="0"/>
                <w:bCs/>
              </w:rPr>
            </w:pPr>
            <w:r w:rsidRPr="00E748FA">
              <w:rPr>
                <w:b w:val="0"/>
                <w:bCs/>
              </w:rPr>
              <w:t>202</w:t>
            </w:r>
            <w:r w:rsidR="00E748FA">
              <w:rPr>
                <w:b w:val="0"/>
                <w:bCs/>
              </w:rPr>
              <w:t>1</w:t>
            </w:r>
          </w:p>
        </w:tc>
        <w:tc>
          <w:tcPr>
            <w:tcW w:w="845" w:type="dxa"/>
          </w:tcPr>
          <w:p w14:paraId="15340D24" w14:textId="11CC4ABC" w:rsidR="00831AD9" w:rsidRPr="00E748FA" w:rsidRDefault="00831AD9" w:rsidP="004C5163">
            <w:pPr>
              <w:pStyle w:val="Tabelid"/>
              <w:jc w:val="right"/>
              <w:cnfStyle w:val="100000000000" w:firstRow="1" w:lastRow="0" w:firstColumn="0" w:lastColumn="0" w:oddVBand="0" w:evenVBand="0" w:oddHBand="0" w:evenHBand="0" w:firstRowFirstColumn="0" w:firstRowLastColumn="0" w:lastRowFirstColumn="0" w:lastRowLastColumn="0"/>
              <w:rPr>
                <w:b w:val="0"/>
                <w:bCs/>
              </w:rPr>
            </w:pPr>
            <w:r w:rsidRPr="00E748FA">
              <w:rPr>
                <w:b w:val="0"/>
                <w:bCs/>
              </w:rPr>
              <w:t>202</w:t>
            </w:r>
            <w:r w:rsidR="00E748FA">
              <w:rPr>
                <w:b w:val="0"/>
                <w:bCs/>
              </w:rPr>
              <w:t>2</w:t>
            </w:r>
          </w:p>
        </w:tc>
        <w:tc>
          <w:tcPr>
            <w:tcW w:w="845" w:type="dxa"/>
          </w:tcPr>
          <w:p w14:paraId="08E8D42E" w14:textId="0D115000" w:rsidR="00831AD9" w:rsidRPr="00E748FA" w:rsidRDefault="00831AD9" w:rsidP="004C5163">
            <w:pPr>
              <w:pStyle w:val="Tabelid"/>
              <w:jc w:val="right"/>
              <w:cnfStyle w:val="100000000000" w:firstRow="1" w:lastRow="0" w:firstColumn="0" w:lastColumn="0" w:oddVBand="0" w:evenVBand="0" w:oddHBand="0" w:evenHBand="0" w:firstRowFirstColumn="0" w:firstRowLastColumn="0" w:lastRowFirstColumn="0" w:lastRowLastColumn="0"/>
              <w:rPr>
                <w:b w:val="0"/>
                <w:bCs/>
              </w:rPr>
            </w:pPr>
            <w:r w:rsidRPr="00E748FA">
              <w:rPr>
                <w:b w:val="0"/>
                <w:bCs/>
              </w:rPr>
              <w:t>202</w:t>
            </w:r>
            <w:r w:rsidR="00E748FA">
              <w:rPr>
                <w:b w:val="0"/>
                <w:bCs/>
              </w:rPr>
              <w:t>3</w:t>
            </w:r>
          </w:p>
        </w:tc>
        <w:tc>
          <w:tcPr>
            <w:tcW w:w="845" w:type="dxa"/>
          </w:tcPr>
          <w:p w14:paraId="6720A1BB" w14:textId="0CFE6519" w:rsidR="00831AD9" w:rsidRPr="00E748FA" w:rsidRDefault="00831AD9" w:rsidP="004C5163">
            <w:pPr>
              <w:pStyle w:val="Tabelid"/>
              <w:jc w:val="right"/>
              <w:cnfStyle w:val="100000000000" w:firstRow="1" w:lastRow="0" w:firstColumn="0" w:lastColumn="0" w:oddVBand="0" w:evenVBand="0" w:oddHBand="0" w:evenHBand="0" w:firstRowFirstColumn="0" w:firstRowLastColumn="0" w:lastRowFirstColumn="0" w:lastRowLastColumn="0"/>
              <w:rPr>
                <w:b w:val="0"/>
                <w:bCs/>
              </w:rPr>
            </w:pPr>
            <w:r w:rsidRPr="00E748FA">
              <w:rPr>
                <w:b w:val="0"/>
                <w:bCs/>
              </w:rPr>
              <w:t>202</w:t>
            </w:r>
            <w:r w:rsidR="00E748FA">
              <w:rPr>
                <w:b w:val="0"/>
                <w:bCs/>
              </w:rPr>
              <w:t>4</w:t>
            </w:r>
          </w:p>
        </w:tc>
        <w:tc>
          <w:tcPr>
            <w:tcW w:w="845" w:type="dxa"/>
          </w:tcPr>
          <w:p w14:paraId="69E96589" w14:textId="40F6EF61" w:rsidR="00831AD9" w:rsidRPr="00E748FA" w:rsidRDefault="00831AD9" w:rsidP="004C5163">
            <w:pPr>
              <w:pStyle w:val="Tabelid"/>
              <w:jc w:val="right"/>
              <w:cnfStyle w:val="100000000000" w:firstRow="1" w:lastRow="0" w:firstColumn="0" w:lastColumn="0" w:oddVBand="0" w:evenVBand="0" w:oddHBand="0" w:evenHBand="0" w:firstRowFirstColumn="0" w:firstRowLastColumn="0" w:lastRowFirstColumn="0" w:lastRowLastColumn="0"/>
              <w:rPr>
                <w:b w:val="0"/>
                <w:bCs/>
              </w:rPr>
            </w:pPr>
            <w:r w:rsidRPr="00E748FA">
              <w:rPr>
                <w:b w:val="0"/>
                <w:bCs/>
              </w:rPr>
              <w:t>202</w:t>
            </w:r>
            <w:r w:rsidR="00E748FA">
              <w:rPr>
                <w:b w:val="0"/>
                <w:bCs/>
              </w:rPr>
              <w:t>5</w:t>
            </w:r>
          </w:p>
        </w:tc>
        <w:tc>
          <w:tcPr>
            <w:tcW w:w="848" w:type="dxa"/>
            <w:noWrap/>
          </w:tcPr>
          <w:p w14:paraId="39E93A79" w14:textId="25E130C0" w:rsidR="00831AD9" w:rsidRPr="00E748FA" w:rsidRDefault="00831AD9" w:rsidP="004C5163">
            <w:pPr>
              <w:pStyle w:val="Tabelid"/>
              <w:jc w:val="right"/>
              <w:cnfStyle w:val="100000000000" w:firstRow="1" w:lastRow="0" w:firstColumn="0" w:lastColumn="0" w:oddVBand="0" w:evenVBand="0" w:oddHBand="0" w:evenHBand="0" w:firstRowFirstColumn="0" w:firstRowLastColumn="0" w:lastRowFirstColumn="0" w:lastRowLastColumn="0"/>
              <w:rPr>
                <w:b w:val="0"/>
                <w:bCs/>
              </w:rPr>
            </w:pPr>
            <w:r w:rsidRPr="00E748FA">
              <w:rPr>
                <w:b w:val="0"/>
                <w:bCs/>
              </w:rPr>
              <w:t>202</w:t>
            </w:r>
            <w:r w:rsidR="00E748FA">
              <w:rPr>
                <w:b w:val="0"/>
                <w:bCs/>
              </w:rPr>
              <w:t>6</w:t>
            </w:r>
          </w:p>
        </w:tc>
      </w:tr>
      <w:tr w:rsidR="00831AD9" w:rsidRPr="00E748FA" w14:paraId="613AF83D" w14:textId="77777777" w:rsidTr="005150BF">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3695" w:type="dxa"/>
            <w:noWrap/>
          </w:tcPr>
          <w:p w14:paraId="79496330" w14:textId="77777777" w:rsidR="00831AD9" w:rsidRPr="00E748FA" w:rsidRDefault="00831AD9" w:rsidP="005150BF">
            <w:pPr>
              <w:pStyle w:val="Tabelid"/>
            </w:pPr>
          </w:p>
        </w:tc>
        <w:tc>
          <w:tcPr>
            <w:tcW w:w="1013" w:type="dxa"/>
          </w:tcPr>
          <w:p w14:paraId="0F6F2486" w14:textId="77777777" w:rsidR="00831AD9" w:rsidRPr="00E748FA" w:rsidRDefault="00831AD9" w:rsidP="005150BF">
            <w:pPr>
              <w:pStyle w:val="Tabelid"/>
              <w:cnfStyle w:val="000000100000" w:firstRow="0" w:lastRow="0" w:firstColumn="0" w:lastColumn="0" w:oddVBand="0" w:evenVBand="0" w:oddHBand="1" w:evenHBand="0" w:firstRowFirstColumn="0" w:firstRowLastColumn="0" w:lastRowFirstColumn="0" w:lastRowLastColumn="0"/>
              <w:rPr>
                <w:i/>
                <w:iCs/>
              </w:rPr>
            </w:pPr>
            <w:r w:rsidRPr="00E748FA">
              <w:rPr>
                <w:i/>
                <w:iCs/>
              </w:rPr>
              <w:t>mln eurot</w:t>
            </w:r>
          </w:p>
        </w:tc>
        <w:tc>
          <w:tcPr>
            <w:tcW w:w="845" w:type="dxa"/>
          </w:tcPr>
          <w:p w14:paraId="35D8D45D" w14:textId="77777777" w:rsidR="00831AD9" w:rsidRPr="00E748FA" w:rsidRDefault="00831AD9" w:rsidP="005150BF">
            <w:pPr>
              <w:pStyle w:val="Tabelid"/>
              <w:cnfStyle w:val="000000100000" w:firstRow="0" w:lastRow="0" w:firstColumn="0" w:lastColumn="0" w:oddVBand="0" w:evenVBand="0" w:oddHBand="1" w:evenHBand="0" w:firstRowFirstColumn="0" w:firstRowLastColumn="0" w:lastRowFirstColumn="0" w:lastRowLastColumn="0"/>
              <w:rPr>
                <w:i/>
                <w:iCs/>
              </w:rPr>
            </w:pPr>
            <w:r w:rsidRPr="00E748FA">
              <w:rPr>
                <w:i/>
                <w:iCs/>
              </w:rPr>
              <w:t>% SKPst</w:t>
            </w:r>
          </w:p>
        </w:tc>
        <w:tc>
          <w:tcPr>
            <w:tcW w:w="845" w:type="dxa"/>
          </w:tcPr>
          <w:p w14:paraId="5A57C9A7" w14:textId="77777777" w:rsidR="00831AD9" w:rsidRPr="00E748FA" w:rsidRDefault="00831AD9" w:rsidP="005150BF">
            <w:pPr>
              <w:pStyle w:val="Tabelid"/>
              <w:cnfStyle w:val="000000100000" w:firstRow="0" w:lastRow="0" w:firstColumn="0" w:lastColumn="0" w:oddVBand="0" w:evenVBand="0" w:oddHBand="1" w:evenHBand="0" w:firstRowFirstColumn="0" w:firstRowLastColumn="0" w:lastRowFirstColumn="0" w:lastRowLastColumn="0"/>
              <w:rPr>
                <w:i/>
                <w:iCs/>
              </w:rPr>
            </w:pPr>
            <w:r w:rsidRPr="00E748FA">
              <w:rPr>
                <w:i/>
                <w:iCs/>
              </w:rPr>
              <w:t>% SKPst</w:t>
            </w:r>
          </w:p>
        </w:tc>
        <w:tc>
          <w:tcPr>
            <w:tcW w:w="845" w:type="dxa"/>
          </w:tcPr>
          <w:p w14:paraId="74DFEBA6" w14:textId="77777777" w:rsidR="00831AD9" w:rsidRPr="00E748FA" w:rsidRDefault="00831AD9" w:rsidP="005150BF">
            <w:pPr>
              <w:pStyle w:val="Tabelid"/>
              <w:cnfStyle w:val="000000100000" w:firstRow="0" w:lastRow="0" w:firstColumn="0" w:lastColumn="0" w:oddVBand="0" w:evenVBand="0" w:oddHBand="1" w:evenHBand="0" w:firstRowFirstColumn="0" w:firstRowLastColumn="0" w:lastRowFirstColumn="0" w:lastRowLastColumn="0"/>
              <w:rPr>
                <w:i/>
                <w:iCs/>
              </w:rPr>
            </w:pPr>
            <w:r w:rsidRPr="00E748FA">
              <w:rPr>
                <w:i/>
                <w:iCs/>
              </w:rPr>
              <w:t>% SKPst</w:t>
            </w:r>
          </w:p>
        </w:tc>
        <w:tc>
          <w:tcPr>
            <w:tcW w:w="845" w:type="dxa"/>
          </w:tcPr>
          <w:p w14:paraId="4D60334B" w14:textId="77777777" w:rsidR="00831AD9" w:rsidRPr="00E748FA" w:rsidRDefault="00831AD9" w:rsidP="005150BF">
            <w:pPr>
              <w:pStyle w:val="Tabelid"/>
              <w:cnfStyle w:val="000000100000" w:firstRow="0" w:lastRow="0" w:firstColumn="0" w:lastColumn="0" w:oddVBand="0" w:evenVBand="0" w:oddHBand="1" w:evenHBand="0" w:firstRowFirstColumn="0" w:firstRowLastColumn="0" w:lastRowFirstColumn="0" w:lastRowLastColumn="0"/>
              <w:rPr>
                <w:i/>
                <w:iCs/>
              </w:rPr>
            </w:pPr>
            <w:r w:rsidRPr="00E748FA">
              <w:rPr>
                <w:i/>
                <w:iCs/>
              </w:rPr>
              <w:t>% SKPst</w:t>
            </w:r>
          </w:p>
        </w:tc>
        <w:tc>
          <w:tcPr>
            <w:tcW w:w="845" w:type="dxa"/>
          </w:tcPr>
          <w:p w14:paraId="7E9CA4FA" w14:textId="77777777" w:rsidR="00831AD9" w:rsidRPr="00E748FA" w:rsidRDefault="00831AD9" w:rsidP="005150BF">
            <w:pPr>
              <w:pStyle w:val="Tabelid"/>
              <w:cnfStyle w:val="000000100000" w:firstRow="0" w:lastRow="0" w:firstColumn="0" w:lastColumn="0" w:oddVBand="0" w:evenVBand="0" w:oddHBand="1" w:evenHBand="0" w:firstRowFirstColumn="0" w:firstRowLastColumn="0" w:lastRowFirstColumn="0" w:lastRowLastColumn="0"/>
              <w:rPr>
                <w:i/>
                <w:iCs/>
              </w:rPr>
            </w:pPr>
            <w:r w:rsidRPr="00E748FA">
              <w:rPr>
                <w:i/>
                <w:iCs/>
              </w:rPr>
              <w:t>% SKPst</w:t>
            </w:r>
          </w:p>
        </w:tc>
        <w:tc>
          <w:tcPr>
            <w:tcW w:w="848" w:type="dxa"/>
            <w:noWrap/>
          </w:tcPr>
          <w:p w14:paraId="5A71F7C4" w14:textId="77777777" w:rsidR="00831AD9" w:rsidRPr="00E748FA" w:rsidRDefault="00831AD9" w:rsidP="005150BF">
            <w:pPr>
              <w:pStyle w:val="Tabelid"/>
              <w:cnfStyle w:val="000000100000" w:firstRow="0" w:lastRow="0" w:firstColumn="0" w:lastColumn="0" w:oddVBand="0" w:evenVBand="0" w:oddHBand="1" w:evenHBand="0" w:firstRowFirstColumn="0" w:firstRowLastColumn="0" w:lastRowFirstColumn="0" w:lastRowLastColumn="0"/>
              <w:rPr>
                <w:i/>
                <w:iCs/>
              </w:rPr>
            </w:pPr>
            <w:r w:rsidRPr="00E748FA">
              <w:rPr>
                <w:i/>
                <w:iCs/>
              </w:rPr>
              <w:t>% SKPst</w:t>
            </w:r>
          </w:p>
        </w:tc>
      </w:tr>
      <w:tr w:rsidR="00831AD9" w:rsidRPr="00E748FA" w14:paraId="789BC0AB" w14:textId="77777777" w:rsidTr="005150BF">
        <w:trPr>
          <w:trHeight w:hRule="exact" w:val="63"/>
        </w:trPr>
        <w:tc>
          <w:tcPr>
            <w:cnfStyle w:val="001000000000" w:firstRow="0" w:lastRow="0" w:firstColumn="1" w:lastColumn="0" w:oddVBand="0" w:evenVBand="0" w:oddHBand="0" w:evenHBand="0" w:firstRowFirstColumn="0" w:firstRowLastColumn="0" w:lastRowFirstColumn="0" w:lastRowLastColumn="0"/>
            <w:tcW w:w="3695" w:type="dxa"/>
          </w:tcPr>
          <w:p w14:paraId="2E52146D" w14:textId="77777777" w:rsidR="00831AD9" w:rsidRPr="00E748FA" w:rsidRDefault="00831AD9" w:rsidP="005150BF">
            <w:pPr>
              <w:pStyle w:val="Tabelid"/>
            </w:pPr>
          </w:p>
        </w:tc>
        <w:tc>
          <w:tcPr>
            <w:tcW w:w="1013" w:type="dxa"/>
          </w:tcPr>
          <w:p w14:paraId="1DE67264" w14:textId="77777777" w:rsidR="00831AD9" w:rsidRPr="00E748FA" w:rsidRDefault="00831AD9" w:rsidP="005150BF">
            <w:pPr>
              <w:pStyle w:val="Tabelid"/>
              <w:cnfStyle w:val="000000000000" w:firstRow="0" w:lastRow="0" w:firstColumn="0" w:lastColumn="0" w:oddVBand="0" w:evenVBand="0" w:oddHBand="0" w:evenHBand="0" w:firstRowFirstColumn="0" w:firstRowLastColumn="0" w:lastRowFirstColumn="0" w:lastRowLastColumn="0"/>
            </w:pPr>
          </w:p>
        </w:tc>
        <w:tc>
          <w:tcPr>
            <w:tcW w:w="845" w:type="dxa"/>
          </w:tcPr>
          <w:p w14:paraId="2CBF232C" w14:textId="77777777" w:rsidR="00831AD9" w:rsidRPr="00E748FA" w:rsidRDefault="00831AD9" w:rsidP="005150BF">
            <w:pPr>
              <w:pStyle w:val="Tabelid"/>
              <w:cnfStyle w:val="000000000000" w:firstRow="0" w:lastRow="0" w:firstColumn="0" w:lastColumn="0" w:oddVBand="0" w:evenVBand="0" w:oddHBand="0" w:evenHBand="0" w:firstRowFirstColumn="0" w:firstRowLastColumn="0" w:lastRowFirstColumn="0" w:lastRowLastColumn="0"/>
            </w:pPr>
          </w:p>
        </w:tc>
        <w:tc>
          <w:tcPr>
            <w:tcW w:w="845" w:type="dxa"/>
          </w:tcPr>
          <w:p w14:paraId="3BB51558" w14:textId="77777777" w:rsidR="00831AD9" w:rsidRPr="00E748FA" w:rsidRDefault="00831AD9" w:rsidP="005150BF">
            <w:pPr>
              <w:pStyle w:val="Tabelid"/>
              <w:cnfStyle w:val="000000000000" w:firstRow="0" w:lastRow="0" w:firstColumn="0" w:lastColumn="0" w:oddVBand="0" w:evenVBand="0" w:oddHBand="0" w:evenHBand="0" w:firstRowFirstColumn="0" w:firstRowLastColumn="0" w:lastRowFirstColumn="0" w:lastRowLastColumn="0"/>
            </w:pPr>
          </w:p>
        </w:tc>
        <w:tc>
          <w:tcPr>
            <w:tcW w:w="845" w:type="dxa"/>
          </w:tcPr>
          <w:p w14:paraId="2D0099F3" w14:textId="77777777" w:rsidR="00831AD9" w:rsidRPr="00E748FA" w:rsidRDefault="00831AD9" w:rsidP="005150BF">
            <w:pPr>
              <w:pStyle w:val="Tabelid"/>
              <w:cnfStyle w:val="000000000000" w:firstRow="0" w:lastRow="0" w:firstColumn="0" w:lastColumn="0" w:oddVBand="0" w:evenVBand="0" w:oddHBand="0" w:evenHBand="0" w:firstRowFirstColumn="0" w:firstRowLastColumn="0" w:lastRowFirstColumn="0" w:lastRowLastColumn="0"/>
            </w:pPr>
          </w:p>
        </w:tc>
        <w:tc>
          <w:tcPr>
            <w:tcW w:w="845" w:type="dxa"/>
          </w:tcPr>
          <w:p w14:paraId="0B1ED5F9" w14:textId="77777777" w:rsidR="00831AD9" w:rsidRPr="00E748FA" w:rsidRDefault="00831AD9" w:rsidP="005150BF">
            <w:pPr>
              <w:pStyle w:val="Tabelid"/>
              <w:cnfStyle w:val="000000000000" w:firstRow="0" w:lastRow="0" w:firstColumn="0" w:lastColumn="0" w:oddVBand="0" w:evenVBand="0" w:oddHBand="0" w:evenHBand="0" w:firstRowFirstColumn="0" w:firstRowLastColumn="0" w:lastRowFirstColumn="0" w:lastRowLastColumn="0"/>
            </w:pPr>
          </w:p>
        </w:tc>
        <w:tc>
          <w:tcPr>
            <w:tcW w:w="845" w:type="dxa"/>
          </w:tcPr>
          <w:p w14:paraId="39036B01" w14:textId="77777777" w:rsidR="00831AD9" w:rsidRPr="00E748FA" w:rsidRDefault="00831AD9" w:rsidP="005150BF">
            <w:pPr>
              <w:pStyle w:val="Tabelid"/>
              <w:cnfStyle w:val="000000000000" w:firstRow="0" w:lastRow="0" w:firstColumn="0" w:lastColumn="0" w:oddVBand="0" w:evenVBand="0" w:oddHBand="0" w:evenHBand="0" w:firstRowFirstColumn="0" w:firstRowLastColumn="0" w:lastRowFirstColumn="0" w:lastRowLastColumn="0"/>
            </w:pPr>
          </w:p>
        </w:tc>
        <w:tc>
          <w:tcPr>
            <w:tcW w:w="848" w:type="dxa"/>
          </w:tcPr>
          <w:p w14:paraId="532CCC05" w14:textId="77777777" w:rsidR="00831AD9" w:rsidRPr="00E748FA" w:rsidRDefault="00831AD9" w:rsidP="005150BF">
            <w:pPr>
              <w:pStyle w:val="Tabelid"/>
              <w:cnfStyle w:val="000000000000" w:firstRow="0" w:lastRow="0" w:firstColumn="0" w:lastColumn="0" w:oddVBand="0" w:evenVBand="0" w:oddHBand="0" w:evenHBand="0" w:firstRowFirstColumn="0" w:firstRowLastColumn="0" w:lastRowFirstColumn="0" w:lastRowLastColumn="0"/>
            </w:pPr>
          </w:p>
        </w:tc>
      </w:tr>
      <w:tr w:rsidR="001C1B6C" w:rsidRPr="00E748FA" w14:paraId="5C7FDE84" w14:textId="77777777" w:rsidTr="0020087E">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695" w:type="dxa"/>
            <w:shd w:val="clear" w:color="auto" w:fill="D9D9D9" w:themeFill="background1" w:themeFillShade="D9"/>
            <w:noWrap/>
          </w:tcPr>
          <w:p w14:paraId="0A3B4CB2" w14:textId="7199154A" w:rsidR="001C1B6C" w:rsidRPr="00E748FA" w:rsidRDefault="001C1B6C" w:rsidP="001C1B6C">
            <w:pPr>
              <w:pStyle w:val="Tabelid"/>
              <w:rPr>
                <w:iCs/>
              </w:rPr>
            </w:pPr>
            <w:r w:rsidRPr="00E748FA">
              <w:rPr>
                <w:iCs/>
              </w:rPr>
              <w:t>1. Valitsussektor</w:t>
            </w:r>
          </w:p>
        </w:tc>
        <w:tc>
          <w:tcPr>
            <w:tcW w:w="1013" w:type="dxa"/>
            <w:shd w:val="clear" w:color="auto" w:fill="D9D9D9" w:themeFill="background1" w:themeFillShade="D9"/>
            <w:vAlign w:val="center"/>
          </w:tcPr>
          <w:p w14:paraId="1FFA03C9" w14:textId="6B473B47"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-721,4</w:t>
            </w:r>
          </w:p>
        </w:tc>
        <w:tc>
          <w:tcPr>
            <w:tcW w:w="845" w:type="dxa"/>
            <w:shd w:val="clear" w:color="auto" w:fill="D9D9D9" w:themeFill="background1" w:themeFillShade="D9"/>
            <w:vAlign w:val="center"/>
          </w:tcPr>
          <w:p w14:paraId="556FF58F" w14:textId="48FF2ED6"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-2,4</w:t>
            </w:r>
          </w:p>
        </w:tc>
        <w:tc>
          <w:tcPr>
            <w:tcW w:w="845" w:type="dxa"/>
            <w:shd w:val="clear" w:color="auto" w:fill="D9D9D9" w:themeFill="background1" w:themeFillShade="D9"/>
            <w:vAlign w:val="center"/>
          </w:tcPr>
          <w:p w14:paraId="432C49FD" w14:textId="2B854FDD"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-3,8</w:t>
            </w:r>
          </w:p>
        </w:tc>
        <w:tc>
          <w:tcPr>
            <w:tcW w:w="845" w:type="dxa"/>
            <w:shd w:val="clear" w:color="auto" w:fill="D9D9D9" w:themeFill="background1" w:themeFillShade="D9"/>
            <w:vAlign w:val="center"/>
          </w:tcPr>
          <w:p w14:paraId="151F3CFD" w14:textId="54A43288"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-3,7</w:t>
            </w:r>
          </w:p>
        </w:tc>
        <w:tc>
          <w:tcPr>
            <w:tcW w:w="845" w:type="dxa"/>
            <w:shd w:val="clear" w:color="auto" w:fill="D9D9D9" w:themeFill="background1" w:themeFillShade="D9"/>
            <w:vAlign w:val="center"/>
          </w:tcPr>
          <w:p w14:paraId="6A7373B9" w14:textId="62651093"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-3,5</w:t>
            </w:r>
          </w:p>
        </w:tc>
        <w:tc>
          <w:tcPr>
            <w:tcW w:w="845" w:type="dxa"/>
            <w:shd w:val="clear" w:color="auto" w:fill="D9D9D9" w:themeFill="background1" w:themeFillShade="D9"/>
            <w:vAlign w:val="center"/>
          </w:tcPr>
          <w:p w14:paraId="6A2B7ACA" w14:textId="733D1E96"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-2,8</w:t>
            </w:r>
          </w:p>
        </w:tc>
        <w:tc>
          <w:tcPr>
            <w:tcW w:w="848" w:type="dxa"/>
            <w:shd w:val="clear" w:color="auto" w:fill="D9D9D9" w:themeFill="background1" w:themeFillShade="D9"/>
            <w:noWrap/>
            <w:vAlign w:val="center"/>
          </w:tcPr>
          <w:p w14:paraId="21127785" w14:textId="3851D283"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-2,2</w:t>
            </w:r>
          </w:p>
        </w:tc>
      </w:tr>
      <w:tr w:rsidR="001C1B6C" w:rsidRPr="00E748FA" w14:paraId="0CC44DA4" w14:textId="77777777" w:rsidTr="0020087E">
        <w:trPr>
          <w:trHeight w:val="63"/>
        </w:trPr>
        <w:tc>
          <w:tcPr>
            <w:cnfStyle w:val="001000000000" w:firstRow="0" w:lastRow="0" w:firstColumn="1" w:lastColumn="0" w:oddVBand="0" w:evenVBand="0" w:oddHBand="0" w:evenHBand="0" w:firstRowFirstColumn="0" w:firstRowLastColumn="0" w:lastRowFirstColumn="0" w:lastRowLastColumn="0"/>
            <w:tcW w:w="3695" w:type="dxa"/>
            <w:noWrap/>
          </w:tcPr>
          <w:p w14:paraId="30884672" w14:textId="2DA5A177" w:rsidR="001C1B6C" w:rsidRPr="00E748FA" w:rsidRDefault="001C1B6C" w:rsidP="001C1B6C">
            <w:pPr>
              <w:pStyle w:val="Tabelid"/>
              <w:rPr>
                <w:iCs/>
              </w:rPr>
            </w:pPr>
            <w:r w:rsidRPr="00E748FA">
              <w:rPr>
                <w:iCs/>
              </w:rPr>
              <w:t>2. Keskvalitsus</w:t>
            </w:r>
          </w:p>
        </w:tc>
        <w:tc>
          <w:tcPr>
            <w:tcW w:w="1013" w:type="dxa"/>
            <w:vAlign w:val="center"/>
          </w:tcPr>
          <w:p w14:paraId="77034ABE" w14:textId="181A6BA0"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-742,3</w:t>
            </w:r>
          </w:p>
        </w:tc>
        <w:tc>
          <w:tcPr>
            <w:tcW w:w="845" w:type="dxa"/>
            <w:vAlign w:val="center"/>
          </w:tcPr>
          <w:p w14:paraId="5457583A" w14:textId="2D04148F"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-2,4</w:t>
            </w:r>
          </w:p>
        </w:tc>
        <w:tc>
          <w:tcPr>
            <w:tcW w:w="845" w:type="dxa"/>
            <w:vAlign w:val="center"/>
          </w:tcPr>
          <w:p w14:paraId="35E096FE" w14:textId="4F2CEF16"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-3,3</w:t>
            </w:r>
          </w:p>
        </w:tc>
        <w:tc>
          <w:tcPr>
            <w:tcW w:w="845" w:type="dxa"/>
            <w:vAlign w:val="center"/>
          </w:tcPr>
          <w:p w14:paraId="040D53A9" w14:textId="7F569D1F"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-3,3</w:t>
            </w:r>
          </w:p>
        </w:tc>
        <w:tc>
          <w:tcPr>
            <w:tcW w:w="845" w:type="dxa"/>
            <w:vAlign w:val="center"/>
          </w:tcPr>
          <w:p w14:paraId="0E4F3584" w14:textId="1F99756D"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-3,1</w:t>
            </w:r>
          </w:p>
        </w:tc>
        <w:tc>
          <w:tcPr>
            <w:tcW w:w="845" w:type="dxa"/>
            <w:vAlign w:val="center"/>
          </w:tcPr>
          <w:p w14:paraId="0FC4C87F" w14:textId="29E3EBAC"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-2,1</w:t>
            </w:r>
          </w:p>
        </w:tc>
        <w:tc>
          <w:tcPr>
            <w:tcW w:w="848" w:type="dxa"/>
            <w:noWrap/>
            <w:vAlign w:val="center"/>
          </w:tcPr>
          <w:p w14:paraId="0B4C64D1" w14:textId="2CEFF764"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-1,7</w:t>
            </w:r>
          </w:p>
        </w:tc>
      </w:tr>
      <w:tr w:rsidR="001C1B6C" w:rsidRPr="00E748FA" w14:paraId="62384BF0" w14:textId="77777777" w:rsidTr="0020087E">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695" w:type="dxa"/>
            <w:noWrap/>
          </w:tcPr>
          <w:p w14:paraId="61E34A64" w14:textId="0DE70E48" w:rsidR="001C1B6C" w:rsidRPr="00E748FA" w:rsidRDefault="001C1B6C" w:rsidP="001C1B6C">
            <w:pPr>
              <w:pStyle w:val="Tabelid"/>
              <w:rPr>
                <w:iCs/>
              </w:rPr>
            </w:pPr>
            <w:r w:rsidRPr="00E748FA">
              <w:rPr>
                <w:iCs/>
              </w:rPr>
              <w:t>4. Kohalikud omavalitsused</w:t>
            </w:r>
          </w:p>
        </w:tc>
        <w:tc>
          <w:tcPr>
            <w:tcW w:w="1013" w:type="dxa"/>
            <w:vAlign w:val="center"/>
          </w:tcPr>
          <w:p w14:paraId="67A9D8E9" w14:textId="50A990F0"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-114,8</w:t>
            </w:r>
          </w:p>
        </w:tc>
        <w:tc>
          <w:tcPr>
            <w:tcW w:w="845" w:type="dxa"/>
            <w:vAlign w:val="center"/>
          </w:tcPr>
          <w:p w14:paraId="79F342C6" w14:textId="3247186D"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-0,4</w:t>
            </w:r>
          </w:p>
        </w:tc>
        <w:tc>
          <w:tcPr>
            <w:tcW w:w="845" w:type="dxa"/>
            <w:vAlign w:val="center"/>
          </w:tcPr>
          <w:p w14:paraId="0455A7DC" w14:textId="28C29F48"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-0,3</w:t>
            </w:r>
          </w:p>
        </w:tc>
        <w:tc>
          <w:tcPr>
            <w:tcW w:w="845" w:type="dxa"/>
            <w:vAlign w:val="center"/>
          </w:tcPr>
          <w:p w14:paraId="65155532" w14:textId="45D6DA30"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-0,4</w:t>
            </w:r>
          </w:p>
        </w:tc>
        <w:tc>
          <w:tcPr>
            <w:tcW w:w="845" w:type="dxa"/>
            <w:vAlign w:val="center"/>
          </w:tcPr>
          <w:p w14:paraId="7E725ACB" w14:textId="06DB1080"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-0,3</w:t>
            </w:r>
          </w:p>
        </w:tc>
        <w:tc>
          <w:tcPr>
            <w:tcW w:w="845" w:type="dxa"/>
            <w:vAlign w:val="center"/>
          </w:tcPr>
          <w:p w14:paraId="041212B7" w14:textId="4035BBE3"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-0,4</w:t>
            </w:r>
          </w:p>
        </w:tc>
        <w:tc>
          <w:tcPr>
            <w:tcW w:w="848" w:type="dxa"/>
            <w:noWrap/>
            <w:vAlign w:val="center"/>
          </w:tcPr>
          <w:p w14:paraId="4464986C" w14:textId="08B40DA2"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-0,1</w:t>
            </w:r>
          </w:p>
        </w:tc>
      </w:tr>
      <w:tr w:rsidR="001C1B6C" w:rsidRPr="00E748FA" w14:paraId="2EC933E4" w14:textId="77777777" w:rsidTr="0020087E">
        <w:trPr>
          <w:trHeight w:val="63"/>
        </w:trPr>
        <w:tc>
          <w:tcPr>
            <w:cnfStyle w:val="001000000000" w:firstRow="0" w:lastRow="0" w:firstColumn="1" w:lastColumn="0" w:oddVBand="0" w:evenVBand="0" w:oddHBand="0" w:evenHBand="0" w:firstRowFirstColumn="0" w:firstRowLastColumn="0" w:lastRowFirstColumn="0" w:lastRowLastColumn="0"/>
            <w:tcW w:w="3695" w:type="dxa"/>
            <w:noWrap/>
          </w:tcPr>
          <w:p w14:paraId="24C614D3" w14:textId="18CD4CDB" w:rsidR="001C1B6C" w:rsidRPr="00E748FA" w:rsidRDefault="001C1B6C" w:rsidP="001C1B6C">
            <w:pPr>
              <w:pStyle w:val="Tabelid"/>
              <w:rPr>
                <w:iCs/>
              </w:rPr>
            </w:pPr>
            <w:r w:rsidRPr="00E748FA">
              <w:rPr>
                <w:iCs/>
              </w:rPr>
              <w:t>5. Sotsiaalkindlustusfondid</w:t>
            </w:r>
          </w:p>
        </w:tc>
        <w:tc>
          <w:tcPr>
            <w:tcW w:w="1013" w:type="dxa"/>
            <w:vAlign w:val="center"/>
          </w:tcPr>
          <w:p w14:paraId="5E19A5F0" w14:textId="6D3C10EC"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135,7</w:t>
            </w:r>
          </w:p>
        </w:tc>
        <w:tc>
          <w:tcPr>
            <w:tcW w:w="845" w:type="dxa"/>
            <w:vAlign w:val="center"/>
          </w:tcPr>
          <w:p w14:paraId="18FFC660" w14:textId="34AEABC4"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0,4</w:t>
            </w:r>
          </w:p>
        </w:tc>
        <w:tc>
          <w:tcPr>
            <w:tcW w:w="845" w:type="dxa"/>
            <w:vAlign w:val="center"/>
          </w:tcPr>
          <w:p w14:paraId="276A10B7" w14:textId="206A3BC5"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-0,2</w:t>
            </w:r>
          </w:p>
        </w:tc>
        <w:tc>
          <w:tcPr>
            <w:tcW w:w="845" w:type="dxa"/>
            <w:vAlign w:val="center"/>
          </w:tcPr>
          <w:p w14:paraId="2B100D08" w14:textId="2761B6AC"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-0,1</w:t>
            </w:r>
          </w:p>
        </w:tc>
        <w:tc>
          <w:tcPr>
            <w:tcW w:w="845" w:type="dxa"/>
            <w:vAlign w:val="center"/>
          </w:tcPr>
          <w:p w14:paraId="21D0A980" w14:textId="0C986C18"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-0,1</w:t>
            </w:r>
          </w:p>
        </w:tc>
        <w:tc>
          <w:tcPr>
            <w:tcW w:w="845" w:type="dxa"/>
            <w:vAlign w:val="center"/>
          </w:tcPr>
          <w:p w14:paraId="5D0352D0" w14:textId="5DC17487"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-0,4</w:t>
            </w:r>
          </w:p>
        </w:tc>
        <w:tc>
          <w:tcPr>
            <w:tcW w:w="848" w:type="dxa"/>
            <w:noWrap/>
            <w:vAlign w:val="center"/>
          </w:tcPr>
          <w:p w14:paraId="638CE20F" w14:textId="5E817BEE"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-0,3</w:t>
            </w:r>
          </w:p>
        </w:tc>
      </w:tr>
      <w:tr w:rsidR="001C1B6C" w:rsidRPr="00E748FA" w14:paraId="331CA6CC" w14:textId="77777777" w:rsidTr="005150BF">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695" w:type="dxa"/>
            <w:noWrap/>
          </w:tcPr>
          <w:p w14:paraId="18195B5B" w14:textId="309022C5" w:rsidR="001C1B6C" w:rsidRPr="00E748FA" w:rsidRDefault="001C1B6C" w:rsidP="00256DC2">
            <w:pPr>
              <w:pStyle w:val="Tabelid"/>
              <w:rPr>
                <w:iCs/>
              </w:rPr>
            </w:pPr>
            <w:r w:rsidRPr="001C1B6C">
              <w:rPr>
                <w:iCs/>
              </w:rPr>
              <w:t>Valitsussektor</w:t>
            </w:r>
          </w:p>
        </w:tc>
        <w:tc>
          <w:tcPr>
            <w:tcW w:w="1013" w:type="dxa"/>
          </w:tcPr>
          <w:p w14:paraId="1FD2646A" w14:textId="77777777" w:rsidR="001C1B6C" w:rsidRPr="00077F4A" w:rsidRDefault="001C1B6C" w:rsidP="004C5163">
            <w:pPr>
              <w:pStyle w:val="Tabelid"/>
              <w:jc w:val="right"/>
              <w:cnfStyle w:val="000000100000" w:firstRow="0" w:lastRow="0" w:firstColumn="0" w:lastColumn="0" w:oddVBand="0" w:evenVBand="0" w:oddHBand="1" w:evenHBand="0" w:firstRowFirstColumn="0" w:firstRowLastColumn="0" w:lastRowFirstColumn="0" w:lastRowLastColumn="0"/>
            </w:pPr>
          </w:p>
        </w:tc>
        <w:tc>
          <w:tcPr>
            <w:tcW w:w="845" w:type="dxa"/>
          </w:tcPr>
          <w:p w14:paraId="6562EC61" w14:textId="77777777" w:rsidR="001C1B6C" w:rsidRPr="00077F4A" w:rsidRDefault="001C1B6C" w:rsidP="004C5163">
            <w:pPr>
              <w:pStyle w:val="Tabelid"/>
              <w:jc w:val="right"/>
              <w:cnfStyle w:val="000000100000" w:firstRow="0" w:lastRow="0" w:firstColumn="0" w:lastColumn="0" w:oddVBand="0" w:evenVBand="0" w:oddHBand="1" w:evenHBand="0" w:firstRowFirstColumn="0" w:firstRowLastColumn="0" w:lastRowFirstColumn="0" w:lastRowLastColumn="0"/>
            </w:pPr>
          </w:p>
        </w:tc>
        <w:tc>
          <w:tcPr>
            <w:tcW w:w="845" w:type="dxa"/>
          </w:tcPr>
          <w:p w14:paraId="1F133615" w14:textId="77777777" w:rsidR="001C1B6C" w:rsidRPr="00077F4A" w:rsidRDefault="001C1B6C" w:rsidP="004C5163">
            <w:pPr>
              <w:pStyle w:val="Tabelid"/>
              <w:jc w:val="right"/>
              <w:cnfStyle w:val="000000100000" w:firstRow="0" w:lastRow="0" w:firstColumn="0" w:lastColumn="0" w:oddVBand="0" w:evenVBand="0" w:oddHBand="1" w:evenHBand="0" w:firstRowFirstColumn="0" w:firstRowLastColumn="0" w:lastRowFirstColumn="0" w:lastRowLastColumn="0"/>
            </w:pPr>
          </w:p>
        </w:tc>
        <w:tc>
          <w:tcPr>
            <w:tcW w:w="845" w:type="dxa"/>
          </w:tcPr>
          <w:p w14:paraId="3F0E8C3C" w14:textId="77777777" w:rsidR="001C1B6C" w:rsidRPr="00077F4A" w:rsidRDefault="001C1B6C" w:rsidP="004C5163">
            <w:pPr>
              <w:pStyle w:val="Tabelid"/>
              <w:jc w:val="right"/>
              <w:cnfStyle w:val="000000100000" w:firstRow="0" w:lastRow="0" w:firstColumn="0" w:lastColumn="0" w:oddVBand="0" w:evenVBand="0" w:oddHBand="1" w:evenHBand="0" w:firstRowFirstColumn="0" w:firstRowLastColumn="0" w:lastRowFirstColumn="0" w:lastRowLastColumn="0"/>
            </w:pPr>
          </w:p>
        </w:tc>
        <w:tc>
          <w:tcPr>
            <w:tcW w:w="845" w:type="dxa"/>
          </w:tcPr>
          <w:p w14:paraId="2C26B403" w14:textId="77777777" w:rsidR="001C1B6C" w:rsidRPr="00077F4A" w:rsidRDefault="001C1B6C" w:rsidP="004C5163">
            <w:pPr>
              <w:pStyle w:val="Tabelid"/>
              <w:jc w:val="right"/>
              <w:cnfStyle w:val="000000100000" w:firstRow="0" w:lastRow="0" w:firstColumn="0" w:lastColumn="0" w:oddVBand="0" w:evenVBand="0" w:oddHBand="1" w:evenHBand="0" w:firstRowFirstColumn="0" w:firstRowLastColumn="0" w:lastRowFirstColumn="0" w:lastRowLastColumn="0"/>
            </w:pPr>
          </w:p>
        </w:tc>
        <w:tc>
          <w:tcPr>
            <w:tcW w:w="845" w:type="dxa"/>
          </w:tcPr>
          <w:p w14:paraId="63D4A53D" w14:textId="77777777" w:rsidR="001C1B6C" w:rsidRPr="00077F4A" w:rsidRDefault="001C1B6C" w:rsidP="004C5163">
            <w:pPr>
              <w:pStyle w:val="Tabelid"/>
              <w:jc w:val="right"/>
              <w:cnfStyle w:val="000000100000" w:firstRow="0" w:lastRow="0" w:firstColumn="0" w:lastColumn="0" w:oddVBand="0" w:evenVBand="0" w:oddHBand="1" w:evenHBand="0" w:firstRowFirstColumn="0" w:firstRowLastColumn="0" w:lastRowFirstColumn="0" w:lastRowLastColumn="0"/>
            </w:pPr>
          </w:p>
        </w:tc>
        <w:tc>
          <w:tcPr>
            <w:tcW w:w="848" w:type="dxa"/>
            <w:noWrap/>
          </w:tcPr>
          <w:p w14:paraId="6FD4004E" w14:textId="77777777" w:rsidR="001C1B6C" w:rsidRPr="00077F4A" w:rsidRDefault="001C1B6C" w:rsidP="004C5163">
            <w:pPr>
              <w:pStyle w:val="Tabelid"/>
              <w:jc w:val="right"/>
              <w:cnfStyle w:val="000000100000" w:firstRow="0" w:lastRow="0" w:firstColumn="0" w:lastColumn="0" w:oddVBand="0" w:evenVBand="0" w:oddHBand="1" w:evenHBand="0" w:firstRowFirstColumn="0" w:firstRowLastColumn="0" w:lastRowFirstColumn="0" w:lastRowLastColumn="0"/>
            </w:pPr>
          </w:p>
        </w:tc>
      </w:tr>
      <w:tr w:rsidR="001C1B6C" w:rsidRPr="00E748FA" w14:paraId="3FBDC3F8" w14:textId="77777777" w:rsidTr="00EF201F">
        <w:trPr>
          <w:trHeight w:val="63"/>
        </w:trPr>
        <w:tc>
          <w:tcPr>
            <w:cnfStyle w:val="001000000000" w:firstRow="0" w:lastRow="0" w:firstColumn="1" w:lastColumn="0" w:oddVBand="0" w:evenVBand="0" w:oddHBand="0" w:evenHBand="0" w:firstRowFirstColumn="0" w:firstRowLastColumn="0" w:lastRowFirstColumn="0" w:lastRowLastColumn="0"/>
            <w:tcW w:w="3695" w:type="dxa"/>
            <w:noWrap/>
          </w:tcPr>
          <w:p w14:paraId="77D86E84" w14:textId="519CB734" w:rsidR="001C1B6C" w:rsidRPr="00E748FA" w:rsidRDefault="001C1B6C" w:rsidP="001C1B6C">
            <w:pPr>
              <w:pStyle w:val="Tabelid"/>
              <w:rPr>
                <w:iCs/>
              </w:rPr>
            </w:pPr>
            <w:r w:rsidRPr="00E748FA">
              <w:rPr>
                <w:iCs/>
              </w:rPr>
              <w:t>6. Tulud kokku</w:t>
            </w:r>
          </w:p>
        </w:tc>
        <w:tc>
          <w:tcPr>
            <w:tcW w:w="1013" w:type="dxa"/>
            <w:vAlign w:val="center"/>
          </w:tcPr>
          <w:p w14:paraId="4514C31A" w14:textId="1D7F001A"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12 259,2</w:t>
            </w:r>
          </w:p>
        </w:tc>
        <w:tc>
          <w:tcPr>
            <w:tcW w:w="845" w:type="dxa"/>
            <w:vAlign w:val="center"/>
          </w:tcPr>
          <w:p w14:paraId="488D8DBE" w14:textId="553EA7B8"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40,0</w:t>
            </w:r>
          </w:p>
        </w:tc>
        <w:tc>
          <w:tcPr>
            <w:tcW w:w="845" w:type="dxa"/>
            <w:vAlign w:val="center"/>
          </w:tcPr>
          <w:p w14:paraId="79838EEE" w14:textId="453459E3"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39,5</w:t>
            </w:r>
          </w:p>
        </w:tc>
        <w:tc>
          <w:tcPr>
            <w:tcW w:w="845" w:type="dxa"/>
            <w:vAlign w:val="center"/>
          </w:tcPr>
          <w:p w14:paraId="470F49A8" w14:textId="53B3DF91"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39,9</w:t>
            </w:r>
          </w:p>
        </w:tc>
        <w:tc>
          <w:tcPr>
            <w:tcW w:w="845" w:type="dxa"/>
            <w:vAlign w:val="center"/>
          </w:tcPr>
          <w:p w14:paraId="30897BFD" w14:textId="7E5D0AEC"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39,5</w:t>
            </w:r>
          </w:p>
        </w:tc>
        <w:tc>
          <w:tcPr>
            <w:tcW w:w="845" w:type="dxa"/>
            <w:vAlign w:val="center"/>
          </w:tcPr>
          <w:p w14:paraId="2566571A" w14:textId="069AD064"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38,8</w:t>
            </w:r>
          </w:p>
        </w:tc>
        <w:tc>
          <w:tcPr>
            <w:tcW w:w="848" w:type="dxa"/>
            <w:noWrap/>
            <w:vAlign w:val="center"/>
          </w:tcPr>
          <w:p w14:paraId="62285124" w14:textId="39DEC431"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38,3</w:t>
            </w:r>
          </w:p>
        </w:tc>
      </w:tr>
      <w:tr w:rsidR="001C1B6C" w:rsidRPr="00E748FA" w14:paraId="7EEF9334" w14:textId="77777777" w:rsidTr="00EF201F">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695" w:type="dxa"/>
            <w:noWrap/>
          </w:tcPr>
          <w:p w14:paraId="6E13DE87" w14:textId="68A0CFE6" w:rsidR="001C1B6C" w:rsidRPr="00E748FA" w:rsidRDefault="001C1B6C" w:rsidP="001C1B6C">
            <w:pPr>
              <w:pStyle w:val="Tabelid"/>
              <w:rPr>
                <w:iCs/>
              </w:rPr>
            </w:pPr>
            <w:r w:rsidRPr="00E748FA">
              <w:rPr>
                <w:iCs/>
              </w:rPr>
              <w:t>7. Kulud kokku</w:t>
            </w:r>
          </w:p>
        </w:tc>
        <w:tc>
          <w:tcPr>
            <w:tcW w:w="1013" w:type="dxa"/>
            <w:vAlign w:val="center"/>
          </w:tcPr>
          <w:p w14:paraId="0B4CCE4B" w14:textId="127CE057"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12 980,6</w:t>
            </w:r>
          </w:p>
        </w:tc>
        <w:tc>
          <w:tcPr>
            <w:tcW w:w="845" w:type="dxa"/>
            <w:vAlign w:val="center"/>
          </w:tcPr>
          <w:p w14:paraId="1C92C06E" w14:textId="1CFFE7FD"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42,3</w:t>
            </w:r>
          </w:p>
        </w:tc>
        <w:tc>
          <w:tcPr>
            <w:tcW w:w="845" w:type="dxa"/>
            <w:vAlign w:val="center"/>
          </w:tcPr>
          <w:p w14:paraId="44ED03BE" w14:textId="0FD31B22"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43,3</w:t>
            </w:r>
          </w:p>
        </w:tc>
        <w:tc>
          <w:tcPr>
            <w:tcW w:w="845" w:type="dxa"/>
            <w:vAlign w:val="center"/>
          </w:tcPr>
          <w:p w14:paraId="53B56A50" w14:textId="039C6FDC"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43,6</w:t>
            </w:r>
          </w:p>
        </w:tc>
        <w:tc>
          <w:tcPr>
            <w:tcW w:w="845" w:type="dxa"/>
            <w:vAlign w:val="center"/>
          </w:tcPr>
          <w:p w14:paraId="71BC542E" w14:textId="68F208AB"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43,1</w:t>
            </w:r>
          </w:p>
        </w:tc>
        <w:tc>
          <w:tcPr>
            <w:tcW w:w="845" w:type="dxa"/>
            <w:vAlign w:val="center"/>
          </w:tcPr>
          <w:p w14:paraId="60F64FBC" w14:textId="41DD294F"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41,6</w:t>
            </w:r>
          </w:p>
        </w:tc>
        <w:tc>
          <w:tcPr>
            <w:tcW w:w="848" w:type="dxa"/>
            <w:noWrap/>
            <w:vAlign w:val="center"/>
          </w:tcPr>
          <w:p w14:paraId="645DD635" w14:textId="2F99FE09"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40,4</w:t>
            </w:r>
          </w:p>
        </w:tc>
      </w:tr>
      <w:tr w:rsidR="001C1B6C" w:rsidRPr="00E748FA" w14:paraId="2B1966B9" w14:textId="77777777" w:rsidTr="00EF201F">
        <w:trPr>
          <w:trHeight w:val="63"/>
        </w:trPr>
        <w:tc>
          <w:tcPr>
            <w:cnfStyle w:val="001000000000" w:firstRow="0" w:lastRow="0" w:firstColumn="1" w:lastColumn="0" w:oddVBand="0" w:evenVBand="0" w:oddHBand="0" w:evenHBand="0" w:firstRowFirstColumn="0" w:firstRowLastColumn="0" w:lastRowFirstColumn="0" w:lastRowLastColumn="0"/>
            <w:tcW w:w="3695" w:type="dxa"/>
            <w:noWrap/>
          </w:tcPr>
          <w:p w14:paraId="47EF3DEE" w14:textId="0D447C5F" w:rsidR="001C1B6C" w:rsidRPr="00E748FA" w:rsidRDefault="001C1B6C" w:rsidP="001C1B6C">
            <w:pPr>
              <w:pStyle w:val="Tabelid"/>
              <w:rPr>
                <w:iCs/>
              </w:rPr>
            </w:pPr>
            <w:r w:rsidRPr="00E748FA">
              <w:rPr>
                <w:iCs/>
              </w:rPr>
              <w:t>8. Eelarvepositsioon</w:t>
            </w:r>
          </w:p>
        </w:tc>
        <w:tc>
          <w:tcPr>
            <w:tcW w:w="1013" w:type="dxa"/>
            <w:vAlign w:val="center"/>
          </w:tcPr>
          <w:p w14:paraId="4027C008" w14:textId="19012979"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-721,4</w:t>
            </w:r>
          </w:p>
        </w:tc>
        <w:tc>
          <w:tcPr>
            <w:tcW w:w="845" w:type="dxa"/>
            <w:vAlign w:val="center"/>
          </w:tcPr>
          <w:p w14:paraId="4FFED450" w14:textId="1F4AACE9"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-2,4</w:t>
            </w:r>
          </w:p>
        </w:tc>
        <w:tc>
          <w:tcPr>
            <w:tcW w:w="845" w:type="dxa"/>
            <w:vAlign w:val="center"/>
          </w:tcPr>
          <w:p w14:paraId="7E23DFFE" w14:textId="14495F1C"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-3,8</w:t>
            </w:r>
          </w:p>
        </w:tc>
        <w:tc>
          <w:tcPr>
            <w:tcW w:w="845" w:type="dxa"/>
            <w:vAlign w:val="center"/>
          </w:tcPr>
          <w:p w14:paraId="415518CC" w14:textId="6B02C59D"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-3,7</w:t>
            </w:r>
          </w:p>
        </w:tc>
        <w:tc>
          <w:tcPr>
            <w:tcW w:w="845" w:type="dxa"/>
            <w:vAlign w:val="center"/>
          </w:tcPr>
          <w:p w14:paraId="78A517F5" w14:textId="6D08C4AA"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-3,5</w:t>
            </w:r>
          </w:p>
        </w:tc>
        <w:tc>
          <w:tcPr>
            <w:tcW w:w="845" w:type="dxa"/>
            <w:vAlign w:val="center"/>
          </w:tcPr>
          <w:p w14:paraId="709507A4" w14:textId="7F27A324"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-2,8</w:t>
            </w:r>
          </w:p>
        </w:tc>
        <w:tc>
          <w:tcPr>
            <w:tcW w:w="848" w:type="dxa"/>
            <w:noWrap/>
            <w:vAlign w:val="center"/>
          </w:tcPr>
          <w:p w14:paraId="2052FF50" w14:textId="6328DD3E"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-2,2</w:t>
            </w:r>
          </w:p>
        </w:tc>
      </w:tr>
      <w:tr w:rsidR="001C1B6C" w:rsidRPr="00E748FA" w14:paraId="175088C4" w14:textId="77777777" w:rsidTr="00EF201F">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695" w:type="dxa"/>
            <w:noWrap/>
          </w:tcPr>
          <w:p w14:paraId="088685B3" w14:textId="2208A7DD" w:rsidR="001C1B6C" w:rsidRPr="00E748FA" w:rsidRDefault="001C1B6C" w:rsidP="001C1B6C">
            <w:pPr>
              <w:pStyle w:val="Tabelid"/>
              <w:rPr>
                <w:iCs/>
              </w:rPr>
            </w:pPr>
            <w:r w:rsidRPr="00E748FA">
              <w:rPr>
                <w:iCs/>
              </w:rPr>
              <w:t>9. Intressikulu</w:t>
            </w:r>
          </w:p>
        </w:tc>
        <w:tc>
          <w:tcPr>
            <w:tcW w:w="1013" w:type="dxa"/>
            <w:vAlign w:val="center"/>
          </w:tcPr>
          <w:p w14:paraId="2BC3EA3D" w14:textId="273D5D9F"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8,4</w:t>
            </w:r>
          </w:p>
        </w:tc>
        <w:tc>
          <w:tcPr>
            <w:tcW w:w="845" w:type="dxa"/>
            <w:vAlign w:val="center"/>
          </w:tcPr>
          <w:p w14:paraId="15FDE135" w14:textId="636CE3A2"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0,0</w:t>
            </w:r>
          </w:p>
        </w:tc>
        <w:tc>
          <w:tcPr>
            <w:tcW w:w="845" w:type="dxa"/>
            <w:vAlign w:val="center"/>
          </w:tcPr>
          <w:p w14:paraId="47B566D3" w14:textId="4C6AA81C"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0,0</w:t>
            </w:r>
          </w:p>
        </w:tc>
        <w:tc>
          <w:tcPr>
            <w:tcW w:w="845" w:type="dxa"/>
            <w:vAlign w:val="center"/>
          </w:tcPr>
          <w:p w14:paraId="15368BD0" w14:textId="0D98CB18"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0,2</w:t>
            </w:r>
          </w:p>
        </w:tc>
        <w:tc>
          <w:tcPr>
            <w:tcW w:w="845" w:type="dxa"/>
            <w:vAlign w:val="center"/>
          </w:tcPr>
          <w:p w14:paraId="689E7843" w14:textId="4AAB5402"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0,3</w:t>
            </w:r>
          </w:p>
        </w:tc>
        <w:tc>
          <w:tcPr>
            <w:tcW w:w="845" w:type="dxa"/>
            <w:vAlign w:val="center"/>
          </w:tcPr>
          <w:p w14:paraId="22788A0B" w14:textId="2DB9FB78"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0,3</w:t>
            </w:r>
          </w:p>
        </w:tc>
        <w:tc>
          <w:tcPr>
            <w:tcW w:w="848" w:type="dxa"/>
            <w:noWrap/>
            <w:vAlign w:val="center"/>
          </w:tcPr>
          <w:p w14:paraId="05548A76" w14:textId="7F449608"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0,3</w:t>
            </w:r>
          </w:p>
        </w:tc>
      </w:tr>
      <w:tr w:rsidR="001C1B6C" w:rsidRPr="00E748FA" w14:paraId="74D99699" w14:textId="77777777" w:rsidTr="00EF201F">
        <w:trPr>
          <w:trHeight w:val="63"/>
        </w:trPr>
        <w:tc>
          <w:tcPr>
            <w:cnfStyle w:val="001000000000" w:firstRow="0" w:lastRow="0" w:firstColumn="1" w:lastColumn="0" w:oddVBand="0" w:evenVBand="0" w:oddHBand="0" w:evenHBand="0" w:firstRowFirstColumn="0" w:firstRowLastColumn="0" w:lastRowFirstColumn="0" w:lastRowLastColumn="0"/>
            <w:tcW w:w="3695" w:type="dxa"/>
            <w:noWrap/>
          </w:tcPr>
          <w:p w14:paraId="079B8E04" w14:textId="57B26F3E" w:rsidR="001C1B6C" w:rsidRPr="00E748FA" w:rsidRDefault="001C1B6C" w:rsidP="001C1B6C">
            <w:pPr>
              <w:pStyle w:val="Tabelid"/>
              <w:rPr>
                <w:iCs/>
              </w:rPr>
            </w:pPr>
            <w:r w:rsidRPr="00E748FA">
              <w:rPr>
                <w:iCs/>
              </w:rPr>
              <w:t>10. Primaartasakaal</w:t>
            </w:r>
          </w:p>
        </w:tc>
        <w:tc>
          <w:tcPr>
            <w:tcW w:w="1013" w:type="dxa"/>
            <w:vAlign w:val="center"/>
          </w:tcPr>
          <w:p w14:paraId="75A3D584" w14:textId="05B681A9"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-713,0</w:t>
            </w:r>
          </w:p>
        </w:tc>
        <w:tc>
          <w:tcPr>
            <w:tcW w:w="845" w:type="dxa"/>
            <w:vAlign w:val="center"/>
          </w:tcPr>
          <w:p w14:paraId="29430D49" w14:textId="1841F2F8"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-2,3</w:t>
            </w:r>
          </w:p>
        </w:tc>
        <w:tc>
          <w:tcPr>
            <w:tcW w:w="845" w:type="dxa"/>
            <w:vAlign w:val="center"/>
          </w:tcPr>
          <w:p w14:paraId="0C616564" w14:textId="2B682A42"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-3,8</w:t>
            </w:r>
          </w:p>
        </w:tc>
        <w:tc>
          <w:tcPr>
            <w:tcW w:w="845" w:type="dxa"/>
            <w:vAlign w:val="center"/>
          </w:tcPr>
          <w:p w14:paraId="0F7B65D4" w14:textId="20E0CDC9"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-3,6</w:t>
            </w:r>
          </w:p>
        </w:tc>
        <w:tc>
          <w:tcPr>
            <w:tcW w:w="845" w:type="dxa"/>
            <w:vAlign w:val="center"/>
          </w:tcPr>
          <w:p w14:paraId="0BFE27D9" w14:textId="12CA953F"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-3,3</w:t>
            </w:r>
          </w:p>
        </w:tc>
        <w:tc>
          <w:tcPr>
            <w:tcW w:w="845" w:type="dxa"/>
            <w:vAlign w:val="center"/>
          </w:tcPr>
          <w:p w14:paraId="304B5B4B" w14:textId="3A22F4B6"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-2,5</w:t>
            </w:r>
          </w:p>
        </w:tc>
        <w:tc>
          <w:tcPr>
            <w:tcW w:w="848" w:type="dxa"/>
            <w:noWrap/>
            <w:vAlign w:val="center"/>
          </w:tcPr>
          <w:p w14:paraId="55FA0D35" w14:textId="6E925884"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-1,9</w:t>
            </w:r>
          </w:p>
        </w:tc>
      </w:tr>
      <w:tr w:rsidR="001C1B6C" w:rsidRPr="00E748FA" w14:paraId="5DEC0ABE" w14:textId="77777777" w:rsidTr="00EF201F">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695" w:type="dxa"/>
          </w:tcPr>
          <w:p w14:paraId="5A735E72" w14:textId="4317BD72" w:rsidR="001C1B6C" w:rsidRPr="00E748FA" w:rsidRDefault="001C1B6C" w:rsidP="001C1B6C">
            <w:pPr>
              <w:pStyle w:val="Tabelid"/>
              <w:rPr>
                <w:iCs/>
              </w:rPr>
            </w:pPr>
            <w:r w:rsidRPr="00E748FA">
              <w:rPr>
                <w:iCs/>
              </w:rPr>
              <w:t>11. Ühekordsed ja ajutised meetmed</w:t>
            </w:r>
          </w:p>
        </w:tc>
        <w:tc>
          <w:tcPr>
            <w:tcW w:w="1013" w:type="dxa"/>
            <w:vAlign w:val="center"/>
          </w:tcPr>
          <w:p w14:paraId="16FB26CA" w14:textId="5393DE01"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295,6</w:t>
            </w:r>
          </w:p>
        </w:tc>
        <w:tc>
          <w:tcPr>
            <w:tcW w:w="845" w:type="dxa"/>
            <w:vAlign w:val="center"/>
          </w:tcPr>
          <w:p w14:paraId="3C0BD206" w14:textId="4A5F5875"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1,0</w:t>
            </w:r>
          </w:p>
        </w:tc>
        <w:tc>
          <w:tcPr>
            <w:tcW w:w="845" w:type="dxa"/>
            <w:vAlign w:val="center"/>
          </w:tcPr>
          <w:p w14:paraId="2C850453" w14:textId="6838F700"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0,2</w:t>
            </w:r>
          </w:p>
        </w:tc>
        <w:tc>
          <w:tcPr>
            <w:tcW w:w="845" w:type="dxa"/>
            <w:vAlign w:val="center"/>
          </w:tcPr>
          <w:p w14:paraId="0603BD52" w14:textId="07A09A0D"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0,0</w:t>
            </w:r>
          </w:p>
        </w:tc>
        <w:tc>
          <w:tcPr>
            <w:tcW w:w="845" w:type="dxa"/>
            <w:vAlign w:val="center"/>
          </w:tcPr>
          <w:p w14:paraId="5882AC1C" w14:textId="10F82CA7"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0,0</w:t>
            </w:r>
          </w:p>
        </w:tc>
        <w:tc>
          <w:tcPr>
            <w:tcW w:w="845" w:type="dxa"/>
            <w:vAlign w:val="center"/>
          </w:tcPr>
          <w:p w14:paraId="2811864A" w14:textId="6EFECF07"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0,0</w:t>
            </w:r>
          </w:p>
        </w:tc>
        <w:tc>
          <w:tcPr>
            <w:tcW w:w="848" w:type="dxa"/>
            <w:noWrap/>
            <w:vAlign w:val="center"/>
          </w:tcPr>
          <w:p w14:paraId="43598FBC" w14:textId="383D732C"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0,0</w:t>
            </w:r>
          </w:p>
        </w:tc>
      </w:tr>
      <w:tr w:rsidR="001C1B6C" w:rsidRPr="00E748FA" w14:paraId="2AF5F1C7" w14:textId="77777777" w:rsidTr="005150BF">
        <w:trPr>
          <w:trHeight w:val="63"/>
        </w:trPr>
        <w:tc>
          <w:tcPr>
            <w:cnfStyle w:val="001000000000" w:firstRow="0" w:lastRow="0" w:firstColumn="1" w:lastColumn="0" w:oddVBand="0" w:evenVBand="0" w:oddHBand="0" w:evenHBand="0" w:firstRowFirstColumn="0" w:firstRowLastColumn="0" w:lastRowFirstColumn="0" w:lastRowLastColumn="0"/>
            <w:tcW w:w="3695" w:type="dxa"/>
          </w:tcPr>
          <w:p w14:paraId="5F43A0D0" w14:textId="6FB0FD35" w:rsidR="001C1B6C" w:rsidRPr="00E748FA" w:rsidRDefault="001C1B6C" w:rsidP="00256DC2">
            <w:pPr>
              <w:pStyle w:val="Tabelid"/>
              <w:rPr>
                <w:iCs/>
              </w:rPr>
            </w:pPr>
            <w:r w:rsidRPr="001C1B6C">
              <w:rPr>
                <w:iCs/>
              </w:rPr>
              <w:t>Tulud komponentide lõikes</w:t>
            </w:r>
          </w:p>
        </w:tc>
        <w:tc>
          <w:tcPr>
            <w:tcW w:w="1013" w:type="dxa"/>
          </w:tcPr>
          <w:p w14:paraId="407D2780" w14:textId="77777777" w:rsidR="001C1B6C" w:rsidRPr="00192B80" w:rsidRDefault="001C1B6C" w:rsidP="004C5163">
            <w:pPr>
              <w:pStyle w:val="Tabelid"/>
              <w:jc w:val="right"/>
              <w:cnfStyle w:val="000000000000" w:firstRow="0" w:lastRow="0" w:firstColumn="0" w:lastColumn="0" w:oddVBand="0" w:evenVBand="0" w:oddHBand="0" w:evenHBand="0" w:firstRowFirstColumn="0" w:firstRowLastColumn="0" w:lastRowFirstColumn="0" w:lastRowLastColumn="0"/>
            </w:pPr>
          </w:p>
        </w:tc>
        <w:tc>
          <w:tcPr>
            <w:tcW w:w="845" w:type="dxa"/>
          </w:tcPr>
          <w:p w14:paraId="1C612E79" w14:textId="77777777" w:rsidR="001C1B6C" w:rsidRPr="00192B80" w:rsidRDefault="001C1B6C" w:rsidP="004C5163">
            <w:pPr>
              <w:pStyle w:val="Tabelid"/>
              <w:jc w:val="right"/>
              <w:cnfStyle w:val="000000000000" w:firstRow="0" w:lastRow="0" w:firstColumn="0" w:lastColumn="0" w:oddVBand="0" w:evenVBand="0" w:oddHBand="0" w:evenHBand="0" w:firstRowFirstColumn="0" w:firstRowLastColumn="0" w:lastRowFirstColumn="0" w:lastRowLastColumn="0"/>
            </w:pPr>
          </w:p>
        </w:tc>
        <w:tc>
          <w:tcPr>
            <w:tcW w:w="845" w:type="dxa"/>
          </w:tcPr>
          <w:p w14:paraId="57408AAF" w14:textId="77777777" w:rsidR="001C1B6C" w:rsidRPr="00192B80" w:rsidRDefault="001C1B6C" w:rsidP="004C5163">
            <w:pPr>
              <w:pStyle w:val="Tabelid"/>
              <w:jc w:val="right"/>
              <w:cnfStyle w:val="000000000000" w:firstRow="0" w:lastRow="0" w:firstColumn="0" w:lastColumn="0" w:oddVBand="0" w:evenVBand="0" w:oddHBand="0" w:evenHBand="0" w:firstRowFirstColumn="0" w:firstRowLastColumn="0" w:lastRowFirstColumn="0" w:lastRowLastColumn="0"/>
            </w:pPr>
          </w:p>
        </w:tc>
        <w:tc>
          <w:tcPr>
            <w:tcW w:w="845" w:type="dxa"/>
          </w:tcPr>
          <w:p w14:paraId="6215344A" w14:textId="77777777" w:rsidR="001C1B6C" w:rsidRPr="00192B80" w:rsidRDefault="001C1B6C" w:rsidP="004C5163">
            <w:pPr>
              <w:pStyle w:val="Tabelid"/>
              <w:jc w:val="right"/>
              <w:cnfStyle w:val="000000000000" w:firstRow="0" w:lastRow="0" w:firstColumn="0" w:lastColumn="0" w:oddVBand="0" w:evenVBand="0" w:oddHBand="0" w:evenHBand="0" w:firstRowFirstColumn="0" w:firstRowLastColumn="0" w:lastRowFirstColumn="0" w:lastRowLastColumn="0"/>
            </w:pPr>
          </w:p>
        </w:tc>
        <w:tc>
          <w:tcPr>
            <w:tcW w:w="845" w:type="dxa"/>
          </w:tcPr>
          <w:p w14:paraId="6283D71E" w14:textId="77777777" w:rsidR="001C1B6C" w:rsidRPr="00192B80" w:rsidRDefault="001C1B6C" w:rsidP="004C5163">
            <w:pPr>
              <w:pStyle w:val="Tabelid"/>
              <w:jc w:val="right"/>
              <w:cnfStyle w:val="000000000000" w:firstRow="0" w:lastRow="0" w:firstColumn="0" w:lastColumn="0" w:oddVBand="0" w:evenVBand="0" w:oddHBand="0" w:evenHBand="0" w:firstRowFirstColumn="0" w:firstRowLastColumn="0" w:lastRowFirstColumn="0" w:lastRowLastColumn="0"/>
            </w:pPr>
          </w:p>
        </w:tc>
        <w:tc>
          <w:tcPr>
            <w:tcW w:w="845" w:type="dxa"/>
          </w:tcPr>
          <w:p w14:paraId="76E08ABD" w14:textId="77777777" w:rsidR="001C1B6C" w:rsidRPr="00192B80" w:rsidRDefault="001C1B6C" w:rsidP="004C5163">
            <w:pPr>
              <w:pStyle w:val="Tabelid"/>
              <w:jc w:val="right"/>
              <w:cnfStyle w:val="000000000000" w:firstRow="0" w:lastRow="0" w:firstColumn="0" w:lastColumn="0" w:oddVBand="0" w:evenVBand="0" w:oddHBand="0" w:evenHBand="0" w:firstRowFirstColumn="0" w:firstRowLastColumn="0" w:lastRowFirstColumn="0" w:lastRowLastColumn="0"/>
            </w:pPr>
          </w:p>
        </w:tc>
        <w:tc>
          <w:tcPr>
            <w:tcW w:w="848" w:type="dxa"/>
            <w:noWrap/>
          </w:tcPr>
          <w:p w14:paraId="1F3763A2" w14:textId="77777777" w:rsidR="001C1B6C" w:rsidRPr="00192B80" w:rsidRDefault="001C1B6C" w:rsidP="004C5163">
            <w:pPr>
              <w:pStyle w:val="Tabelid"/>
              <w:jc w:val="right"/>
              <w:cnfStyle w:val="000000000000" w:firstRow="0" w:lastRow="0" w:firstColumn="0" w:lastColumn="0" w:oddVBand="0" w:evenVBand="0" w:oddHBand="0" w:evenHBand="0" w:firstRowFirstColumn="0" w:firstRowLastColumn="0" w:lastRowFirstColumn="0" w:lastRowLastColumn="0"/>
            </w:pPr>
          </w:p>
        </w:tc>
      </w:tr>
      <w:tr w:rsidR="001C1B6C" w:rsidRPr="00E748FA" w14:paraId="6AC976A2" w14:textId="77777777" w:rsidTr="00B141AE">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695" w:type="dxa"/>
          </w:tcPr>
          <w:p w14:paraId="436506FF" w14:textId="3BA9FC58" w:rsidR="001C1B6C" w:rsidRPr="00E748FA" w:rsidRDefault="001C1B6C" w:rsidP="001C1B6C">
            <w:pPr>
              <w:pStyle w:val="Tabelid"/>
              <w:rPr>
                <w:iCs/>
              </w:rPr>
            </w:pPr>
            <w:r w:rsidRPr="00E748FA">
              <w:rPr>
                <w:iCs/>
              </w:rPr>
              <w:t>12. Maksutulud (12=12a+12b+12c)</w:t>
            </w:r>
          </w:p>
        </w:tc>
        <w:tc>
          <w:tcPr>
            <w:tcW w:w="1013" w:type="dxa"/>
            <w:vAlign w:val="center"/>
          </w:tcPr>
          <w:p w14:paraId="15CA34AA" w14:textId="542ACCE2"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6 815,8</w:t>
            </w:r>
          </w:p>
        </w:tc>
        <w:tc>
          <w:tcPr>
            <w:tcW w:w="845" w:type="dxa"/>
            <w:vAlign w:val="center"/>
          </w:tcPr>
          <w:p w14:paraId="095310F0" w14:textId="5046CB28"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22,2</w:t>
            </w:r>
          </w:p>
        </w:tc>
        <w:tc>
          <w:tcPr>
            <w:tcW w:w="845" w:type="dxa"/>
            <w:vAlign w:val="center"/>
          </w:tcPr>
          <w:p w14:paraId="52BD7CFC" w14:textId="7EB6FAD3"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21,7</w:t>
            </w:r>
          </w:p>
        </w:tc>
        <w:tc>
          <w:tcPr>
            <w:tcW w:w="845" w:type="dxa"/>
            <w:vAlign w:val="center"/>
          </w:tcPr>
          <w:p w14:paraId="4A70B96C" w14:textId="34722EF7"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21,1</w:t>
            </w:r>
          </w:p>
        </w:tc>
        <w:tc>
          <w:tcPr>
            <w:tcW w:w="845" w:type="dxa"/>
            <w:vAlign w:val="center"/>
          </w:tcPr>
          <w:p w14:paraId="618630F6" w14:textId="2B76DE92"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21,1</w:t>
            </w:r>
          </w:p>
        </w:tc>
        <w:tc>
          <w:tcPr>
            <w:tcW w:w="845" w:type="dxa"/>
            <w:vAlign w:val="center"/>
          </w:tcPr>
          <w:p w14:paraId="74112734" w14:textId="205AE3AA"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20,8</w:t>
            </w:r>
          </w:p>
        </w:tc>
        <w:tc>
          <w:tcPr>
            <w:tcW w:w="848" w:type="dxa"/>
            <w:noWrap/>
            <w:vAlign w:val="center"/>
          </w:tcPr>
          <w:p w14:paraId="5119EDED" w14:textId="05274ED6"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20,5</w:t>
            </w:r>
          </w:p>
        </w:tc>
      </w:tr>
      <w:tr w:rsidR="001C1B6C" w:rsidRPr="00E748FA" w14:paraId="3821CF8D" w14:textId="77777777" w:rsidTr="00B141AE">
        <w:trPr>
          <w:trHeight w:val="63"/>
        </w:trPr>
        <w:tc>
          <w:tcPr>
            <w:cnfStyle w:val="001000000000" w:firstRow="0" w:lastRow="0" w:firstColumn="1" w:lastColumn="0" w:oddVBand="0" w:evenVBand="0" w:oddHBand="0" w:evenHBand="0" w:firstRowFirstColumn="0" w:firstRowLastColumn="0" w:lastRowFirstColumn="0" w:lastRowLastColumn="0"/>
            <w:tcW w:w="3695" w:type="dxa"/>
          </w:tcPr>
          <w:p w14:paraId="4DD92760" w14:textId="218388DC" w:rsidR="001C1B6C" w:rsidRPr="00E748FA" w:rsidRDefault="001C1B6C" w:rsidP="001C1B6C">
            <w:pPr>
              <w:pStyle w:val="Tabelid"/>
              <w:rPr>
                <w:iCs/>
              </w:rPr>
            </w:pPr>
            <w:r w:rsidRPr="00E748FA">
              <w:rPr>
                <w:iCs/>
              </w:rPr>
              <w:t>12a. Tootmis- ja impordimaksud</w:t>
            </w:r>
          </w:p>
        </w:tc>
        <w:tc>
          <w:tcPr>
            <w:tcW w:w="1013" w:type="dxa"/>
            <w:vAlign w:val="center"/>
          </w:tcPr>
          <w:p w14:paraId="1EC877E7" w14:textId="6392D34C"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4 188,5</w:t>
            </w:r>
          </w:p>
        </w:tc>
        <w:tc>
          <w:tcPr>
            <w:tcW w:w="845" w:type="dxa"/>
            <w:vAlign w:val="center"/>
          </w:tcPr>
          <w:p w14:paraId="0BAC8D39" w14:textId="0E986F7A"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13,7</w:t>
            </w:r>
          </w:p>
        </w:tc>
        <w:tc>
          <w:tcPr>
            <w:tcW w:w="845" w:type="dxa"/>
            <w:vAlign w:val="center"/>
          </w:tcPr>
          <w:p w14:paraId="75B26EF0" w14:textId="5FA41607"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13,7</w:t>
            </w:r>
          </w:p>
        </w:tc>
        <w:tc>
          <w:tcPr>
            <w:tcW w:w="845" w:type="dxa"/>
            <w:vAlign w:val="center"/>
          </w:tcPr>
          <w:p w14:paraId="5956E5F8" w14:textId="2A643B77"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13,6</w:t>
            </w:r>
          </w:p>
        </w:tc>
        <w:tc>
          <w:tcPr>
            <w:tcW w:w="845" w:type="dxa"/>
            <w:vAlign w:val="center"/>
          </w:tcPr>
          <w:p w14:paraId="75C153CD" w14:textId="50454C26"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13,5</w:t>
            </w:r>
          </w:p>
        </w:tc>
        <w:tc>
          <w:tcPr>
            <w:tcW w:w="845" w:type="dxa"/>
            <w:vAlign w:val="center"/>
          </w:tcPr>
          <w:p w14:paraId="14B8D137" w14:textId="187B2EEA"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13,1</w:t>
            </w:r>
          </w:p>
        </w:tc>
        <w:tc>
          <w:tcPr>
            <w:tcW w:w="848" w:type="dxa"/>
            <w:vAlign w:val="center"/>
          </w:tcPr>
          <w:p w14:paraId="113EFAA2" w14:textId="0E4D1813"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12,8</w:t>
            </w:r>
          </w:p>
        </w:tc>
      </w:tr>
      <w:tr w:rsidR="001C1B6C" w:rsidRPr="00E748FA" w14:paraId="30DE950B" w14:textId="77777777" w:rsidTr="00B141AE">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695" w:type="dxa"/>
          </w:tcPr>
          <w:p w14:paraId="04241EA1" w14:textId="09659F9B" w:rsidR="001C1B6C" w:rsidRPr="00E748FA" w:rsidRDefault="001C1B6C" w:rsidP="001C1B6C">
            <w:pPr>
              <w:pStyle w:val="Tabelid"/>
              <w:rPr>
                <w:iCs/>
              </w:rPr>
            </w:pPr>
            <w:r w:rsidRPr="00E748FA">
              <w:rPr>
                <w:iCs/>
              </w:rPr>
              <w:t>12b. Sissetuleku- ja varanduse maksud</w:t>
            </w:r>
          </w:p>
        </w:tc>
        <w:tc>
          <w:tcPr>
            <w:tcW w:w="1013" w:type="dxa"/>
            <w:vAlign w:val="center"/>
          </w:tcPr>
          <w:p w14:paraId="78B7C81F" w14:textId="4E611109"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2 627,3</w:t>
            </w:r>
          </w:p>
        </w:tc>
        <w:tc>
          <w:tcPr>
            <w:tcW w:w="845" w:type="dxa"/>
            <w:vAlign w:val="center"/>
          </w:tcPr>
          <w:p w14:paraId="3D8551F6" w14:textId="6E8EB855"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8,6</w:t>
            </w:r>
          </w:p>
        </w:tc>
        <w:tc>
          <w:tcPr>
            <w:tcW w:w="845" w:type="dxa"/>
            <w:vAlign w:val="center"/>
          </w:tcPr>
          <w:p w14:paraId="3EA61838" w14:textId="3616BE24"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7,9</w:t>
            </w:r>
          </w:p>
        </w:tc>
        <w:tc>
          <w:tcPr>
            <w:tcW w:w="845" w:type="dxa"/>
            <w:vAlign w:val="center"/>
          </w:tcPr>
          <w:p w14:paraId="04FBEB9F" w14:textId="277F5B91"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7,5</w:t>
            </w:r>
          </w:p>
        </w:tc>
        <w:tc>
          <w:tcPr>
            <w:tcW w:w="845" w:type="dxa"/>
            <w:vAlign w:val="center"/>
          </w:tcPr>
          <w:p w14:paraId="4F8AECFB" w14:textId="030A3C57"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7,6</w:t>
            </w:r>
          </w:p>
        </w:tc>
        <w:tc>
          <w:tcPr>
            <w:tcW w:w="845" w:type="dxa"/>
            <w:vAlign w:val="center"/>
          </w:tcPr>
          <w:p w14:paraId="1FB23832" w14:textId="7C81A8A4"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7,7</w:t>
            </w:r>
          </w:p>
        </w:tc>
        <w:tc>
          <w:tcPr>
            <w:tcW w:w="848" w:type="dxa"/>
            <w:vAlign w:val="center"/>
          </w:tcPr>
          <w:p w14:paraId="132295EE" w14:textId="5FF66820"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7,7</w:t>
            </w:r>
          </w:p>
        </w:tc>
      </w:tr>
      <w:tr w:rsidR="001C1B6C" w:rsidRPr="00E748FA" w14:paraId="591FB317" w14:textId="77777777" w:rsidTr="00B141AE">
        <w:trPr>
          <w:trHeight w:val="63"/>
        </w:trPr>
        <w:tc>
          <w:tcPr>
            <w:cnfStyle w:val="001000000000" w:firstRow="0" w:lastRow="0" w:firstColumn="1" w:lastColumn="0" w:oddVBand="0" w:evenVBand="0" w:oddHBand="0" w:evenHBand="0" w:firstRowFirstColumn="0" w:firstRowLastColumn="0" w:lastRowFirstColumn="0" w:lastRowLastColumn="0"/>
            <w:tcW w:w="3695" w:type="dxa"/>
          </w:tcPr>
          <w:p w14:paraId="660888B5" w14:textId="2DF94F2A" w:rsidR="001C1B6C" w:rsidRPr="00E748FA" w:rsidRDefault="001C1B6C" w:rsidP="001C1B6C">
            <w:pPr>
              <w:pStyle w:val="Tabelid"/>
              <w:rPr>
                <w:iCs/>
              </w:rPr>
            </w:pPr>
            <w:r w:rsidRPr="00E748FA">
              <w:rPr>
                <w:iCs/>
              </w:rPr>
              <w:t>12c. Kapitalimaksud</w:t>
            </w:r>
          </w:p>
        </w:tc>
        <w:tc>
          <w:tcPr>
            <w:tcW w:w="1013" w:type="dxa"/>
            <w:vAlign w:val="center"/>
          </w:tcPr>
          <w:p w14:paraId="70716D0E" w14:textId="6E4D3179"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0,0</w:t>
            </w:r>
          </w:p>
        </w:tc>
        <w:tc>
          <w:tcPr>
            <w:tcW w:w="845" w:type="dxa"/>
            <w:vAlign w:val="center"/>
          </w:tcPr>
          <w:p w14:paraId="4A71A21A" w14:textId="37E6CFB8"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0,0</w:t>
            </w:r>
          </w:p>
        </w:tc>
        <w:tc>
          <w:tcPr>
            <w:tcW w:w="845" w:type="dxa"/>
            <w:vAlign w:val="center"/>
          </w:tcPr>
          <w:p w14:paraId="0464AE91" w14:textId="330F8396"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0,0</w:t>
            </w:r>
          </w:p>
        </w:tc>
        <w:tc>
          <w:tcPr>
            <w:tcW w:w="845" w:type="dxa"/>
            <w:vAlign w:val="center"/>
          </w:tcPr>
          <w:p w14:paraId="2589B277" w14:textId="7BA5608F"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0,0</w:t>
            </w:r>
          </w:p>
        </w:tc>
        <w:tc>
          <w:tcPr>
            <w:tcW w:w="845" w:type="dxa"/>
            <w:vAlign w:val="center"/>
          </w:tcPr>
          <w:p w14:paraId="2E904524" w14:textId="5E5F0E66"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0,0</w:t>
            </w:r>
          </w:p>
        </w:tc>
        <w:tc>
          <w:tcPr>
            <w:tcW w:w="845" w:type="dxa"/>
            <w:vAlign w:val="center"/>
          </w:tcPr>
          <w:p w14:paraId="6FB93B9C" w14:textId="5A938D8B"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0,0</w:t>
            </w:r>
          </w:p>
        </w:tc>
        <w:tc>
          <w:tcPr>
            <w:tcW w:w="848" w:type="dxa"/>
            <w:vAlign w:val="center"/>
          </w:tcPr>
          <w:p w14:paraId="3030BF17" w14:textId="35AF64D4"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0,0</w:t>
            </w:r>
          </w:p>
        </w:tc>
      </w:tr>
      <w:tr w:rsidR="001C1B6C" w:rsidRPr="00E748FA" w14:paraId="59E818CF" w14:textId="77777777" w:rsidTr="00B141AE">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695" w:type="dxa"/>
          </w:tcPr>
          <w:p w14:paraId="30265C1D" w14:textId="3BB8B810" w:rsidR="001C1B6C" w:rsidRPr="00E748FA" w:rsidRDefault="001C1B6C" w:rsidP="001C1B6C">
            <w:pPr>
              <w:pStyle w:val="Tabelid"/>
              <w:rPr>
                <w:iCs/>
              </w:rPr>
            </w:pPr>
            <w:r w:rsidRPr="00E748FA">
              <w:rPr>
                <w:iCs/>
              </w:rPr>
              <w:t>13. Sotsiaalkindlustusmaksed</w:t>
            </w:r>
          </w:p>
        </w:tc>
        <w:tc>
          <w:tcPr>
            <w:tcW w:w="1013" w:type="dxa"/>
            <w:vAlign w:val="center"/>
          </w:tcPr>
          <w:p w14:paraId="4AA88772" w14:textId="59C80893"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3 746,5</w:t>
            </w:r>
          </w:p>
        </w:tc>
        <w:tc>
          <w:tcPr>
            <w:tcW w:w="845" w:type="dxa"/>
            <w:vAlign w:val="center"/>
          </w:tcPr>
          <w:p w14:paraId="3E61021F" w14:textId="48D0592D"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12,2</w:t>
            </w:r>
          </w:p>
        </w:tc>
        <w:tc>
          <w:tcPr>
            <w:tcW w:w="845" w:type="dxa"/>
            <w:vAlign w:val="center"/>
          </w:tcPr>
          <w:p w14:paraId="2A9B33B5" w14:textId="3FF00662"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12,2</w:t>
            </w:r>
          </w:p>
        </w:tc>
        <w:tc>
          <w:tcPr>
            <w:tcW w:w="845" w:type="dxa"/>
            <w:vAlign w:val="center"/>
          </w:tcPr>
          <w:p w14:paraId="1F1B756E" w14:textId="6C06BF57"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12,2</w:t>
            </w:r>
          </w:p>
        </w:tc>
        <w:tc>
          <w:tcPr>
            <w:tcW w:w="845" w:type="dxa"/>
            <w:vAlign w:val="center"/>
          </w:tcPr>
          <w:p w14:paraId="7B74CC28" w14:textId="1E4612F3"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12,3</w:t>
            </w:r>
          </w:p>
        </w:tc>
        <w:tc>
          <w:tcPr>
            <w:tcW w:w="845" w:type="dxa"/>
            <w:vAlign w:val="center"/>
          </w:tcPr>
          <w:p w14:paraId="4AC91A82" w14:textId="35977D89"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12,4</w:t>
            </w:r>
          </w:p>
        </w:tc>
        <w:tc>
          <w:tcPr>
            <w:tcW w:w="848" w:type="dxa"/>
            <w:vAlign w:val="center"/>
          </w:tcPr>
          <w:p w14:paraId="200AD05C" w14:textId="16D6977A"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12,4</w:t>
            </w:r>
          </w:p>
        </w:tc>
      </w:tr>
      <w:tr w:rsidR="001C1B6C" w:rsidRPr="00E748FA" w14:paraId="11FE1072" w14:textId="77777777" w:rsidTr="00B141AE">
        <w:trPr>
          <w:trHeight w:val="63"/>
        </w:trPr>
        <w:tc>
          <w:tcPr>
            <w:cnfStyle w:val="001000000000" w:firstRow="0" w:lastRow="0" w:firstColumn="1" w:lastColumn="0" w:oddVBand="0" w:evenVBand="0" w:oddHBand="0" w:evenHBand="0" w:firstRowFirstColumn="0" w:firstRowLastColumn="0" w:lastRowFirstColumn="0" w:lastRowLastColumn="0"/>
            <w:tcW w:w="3695" w:type="dxa"/>
          </w:tcPr>
          <w:p w14:paraId="380CB0AA" w14:textId="306FC8B4" w:rsidR="001C1B6C" w:rsidRPr="00E748FA" w:rsidRDefault="001C1B6C" w:rsidP="001C1B6C">
            <w:pPr>
              <w:pStyle w:val="Tabelid"/>
              <w:rPr>
                <w:iCs/>
              </w:rPr>
            </w:pPr>
            <w:r w:rsidRPr="00E748FA">
              <w:rPr>
                <w:iCs/>
              </w:rPr>
              <w:t>14. Omanditulud</w:t>
            </w:r>
          </w:p>
        </w:tc>
        <w:tc>
          <w:tcPr>
            <w:tcW w:w="1013" w:type="dxa"/>
            <w:vAlign w:val="center"/>
          </w:tcPr>
          <w:p w14:paraId="59E24013" w14:textId="162A04D1"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3 279,5</w:t>
            </w:r>
          </w:p>
        </w:tc>
        <w:tc>
          <w:tcPr>
            <w:tcW w:w="845" w:type="dxa"/>
            <w:vAlign w:val="center"/>
          </w:tcPr>
          <w:p w14:paraId="57C0FC55" w14:textId="6A5BFB00"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10,7</w:t>
            </w:r>
          </w:p>
        </w:tc>
        <w:tc>
          <w:tcPr>
            <w:tcW w:w="845" w:type="dxa"/>
            <w:vAlign w:val="center"/>
          </w:tcPr>
          <w:p w14:paraId="219D2425" w14:textId="0CBC2AE9"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10,9</w:t>
            </w:r>
          </w:p>
        </w:tc>
        <w:tc>
          <w:tcPr>
            <w:tcW w:w="845" w:type="dxa"/>
            <w:vAlign w:val="center"/>
          </w:tcPr>
          <w:p w14:paraId="24805C0F" w14:textId="4E430EEA"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10,9</w:t>
            </w:r>
          </w:p>
        </w:tc>
        <w:tc>
          <w:tcPr>
            <w:tcW w:w="845" w:type="dxa"/>
            <w:vAlign w:val="center"/>
          </w:tcPr>
          <w:p w14:paraId="6B588343" w14:textId="003040C8"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11,0</w:t>
            </w:r>
          </w:p>
        </w:tc>
        <w:tc>
          <w:tcPr>
            <w:tcW w:w="845" w:type="dxa"/>
            <w:vAlign w:val="center"/>
          </w:tcPr>
          <w:p w14:paraId="3DB09D0C" w14:textId="53EC29A5"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11,1</w:t>
            </w:r>
          </w:p>
        </w:tc>
        <w:tc>
          <w:tcPr>
            <w:tcW w:w="848" w:type="dxa"/>
            <w:vAlign w:val="center"/>
          </w:tcPr>
          <w:p w14:paraId="3B85AB01" w14:textId="637689C1"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11,1</w:t>
            </w:r>
          </w:p>
        </w:tc>
      </w:tr>
      <w:tr w:rsidR="001C1B6C" w:rsidRPr="00E748FA" w14:paraId="06B45DB2" w14:textId="77777777" w:rsidTr="00B141AE">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695" w:type="dxa"/>
          </w:tcPr>
          <w:p w14:paraId="5AC9990A" w14:textId="0A587A7D" w:rsidR="001C1B6C" w:rsidRPr="00E748FA" w:rsidRDefault="001C1B6C" w:rsidP="001C1B6C">
            <w:pPr>
              <w:pStyle w:val="Tabelid"/>
              <w:rPr>
                <w:iCs/>
              </w:rPr>
            </w:pPr>
            <w:r w:rsidRPr="00E748FA">
              <w:rPr>
                <w:iCs/>
              </w:rPr>
              <w:t>15. Muud tulud</w:t>
            </w:r>
          </w:p>
        </w:tc>
        <w:tc>
          <w:tcPr>
            <w:tcW w:w="1013" w:type="dxa"/>
            <w:vAlign w:val="center"/>
          </w:tcPr>
          <w:p w14:paraId="0300F43F" w14:textId="02255E09"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-1 582,6</w:t>
            </w:r>
          </w:p>
        </w:tc>
        <w:tc>
          <w:tcPr>
            <w:tcW w:w="845" w:type="dxa"/>
            <w:vAlign w:val="center"/>
          </w:tcPr>
          <w:p w14:paraId="56A6BFAB" w14:textId="6DE24E62"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-5,2</w:t>
            </w:r>
          </w:p>
        </w:tc>
        <w:tc>
          <w:tcPr>
            <w:tcW w:w="845" w:type="dxa"/>
            <w:vAlign w:val="center"/>
          </w:tcPr>
          <w:p w14:paraId="5613F876" w14:textId="1CD57D72"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-5,3</w:t>
            </w:r>
          </w:p>
        </w:tc>
        <w:tc>
          <w:tcPr>
            <w:tcW w:w="845" w:type="dxa"/>
            <w:vAlign w:val="center"/>
          </w:tcPr>
          <w:p w14:paraId="572FA294" w14:textId="68CEB900"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-4,4</w:t>
            </w:r>
          </w:p>
        </w:tc>
        <w:tc>
          <w:tcPr>
            <w:tcW w:w="845" w:type="dxa"/>
            <w:vAlign w:val="center"/>
          </w:tcPr>
          <w:p w14:paraId="597CEE31" w14:textId="4AFFD117"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-4,8</w:t>
            </w:r>
          </w:p>
        </w:tc>
        <w:tc>
          <w:tcPr>
            <w:tcW w:w="845" w:type="dxa"/>
            <w:vAlign w:val="center"/>
          </w:tcPr>
          <w:p w14:paraId="28CAB341" w14:textId="0BA39700"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-5,4</w:t>
            </w:r>
          </w:p>
        </w:tc>
        <w:tc>
          <w:tcPr>
            <w:tcW w:w="848" w:type="dxa"/>
            <w:vAlign w:val="center"/>
          </w:tcPr>
          <w:p w14:paraId="034B9C35" w14:textId="6711EF45"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-5,7</w:t>
            </w:r>
          </w:p>
        </w:tc>
      </w:tr>
      <w:tr w:rsidR="001C1B6C" w:rsidRPr="00E748FA" w14:paraId="032D97F4" w14:textId="77777777" w:rsidTr="00B141AE">
        <w:trPr>
          <w:trHeight w:val="63"/>
        </w:trPr>
        <w:tc>
          <w:tcPr>
            <w:cnfStyle w:val="001000000000" w:firstRow="0" w:lastRow="0" w:firstColumn="1" w:lastColumn="0" w:oddVBand="0" w:evenVBand="0" w:oddHBand="0" w:evenHBand="0" w:firstRowFirstColumn="0" w:firstRowLastColumn="0" w:lastRowFirstColumn="0" w:lastRowLastColumn="0"/>
            <w:tcW w:w="3695" w:type="dxa"/>
          </w:tcPr>
          <w:p w14:paraId="507B313C" w14:textId="4D20E591" w:rsidR="001C1B6C" w:rsidRPr="00E748FA" w:rsidRDefault="001C1B6C" w:rsidP="001C1B6C">
            <w:pPr>
              <w:pStyle w:val="Tabelid"/>
              <w:rPr>
                <w:iCs/>
              </w:rPr>
            </w:pPr>
            <w:r w:rsidRPr="00E748FA">
              <w:rPr>
                <w:iCs/>
              </w:rPr>
              <w:t>16.=6. Tulud kokku</w:t>
            </w:r>
          </w:p>
        </w:tc>
        <w:tc>
          <w:tcPr>
            <w:tcW w:w="1013" w:type="dxa"/>
            <w:vAlign w:val="center"/>
          </w:tcPr>
          <w:p w14:paraId="211CA4C7" w14:textId="63EC9748"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12 259,2</w:t>
            </w:r>
          </w:p>
        </w:tc>
        <w:tc>
          <w:tcPr>
            <w:tcW w:w="845" w:type="dxa"/>
            <w:vAlign w:val="center"/>
          </w:tcPr>
          <w:p w14:paraId="62EA369D" w14:textId="40919348"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40,0</w:t>
            </w:r>
          </w:p>
        </w:tc>
        <w:tc>
          <w:tcPr>
            <w:tcW w:w="845" w:type="dxa"/>
            <w:vAlign w:val="center"/>
          </w:tcPr>
          <w:p w14:paraId="4E3E1A72" w14:textId="4B2568F5"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39,5</w:t>
            </w:r>
          </w:p>
        </w:tc>
        <w:tc>
          <w:tcPr>
            <w:tcW w:w="845" w:type="dxa"/>
            <w:vAlign w:val="center"/>
          </w:tcPr>
          <w:p w14:paraId="3F897975" w14:textId="10476A87"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39,9</w:t>
            </w:r>
          </w:p>
        </w:tc>
        <w:tc>
          <w:tcPr>
            <w:tcW w:w="845" w:type="dxa"/>
            <w:vAlign w:val="center"/>
          </w:tcPr>
          <w:p w14:paraId="18054284" w14:textId="72FE561F"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39,5</w:t>
            </w:r>
          </w:p>
        </w:tc>
        <w:tc>
          <w:tcPr>
            <w:tcW w:w="845" w:type="dxa"/>
            <w:vAlign w:val="center"/>
          </w:tcPr>
          <w:p w14:paraId="1CD58098" w14:textId="455AFED3"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38,8</w:t>
            </w:r>
          </w:p>
        </w:tc>
        <w:tc>
          <w:tcPr>
            <w:tcW w:w="848" w:type="dxa"/>
            <w:noWrap/>
            <w:vAlign w:val="center"/>
          </w:tcPr>
          <w:p w14:paraId="45B31B5D" w14:textId="3AAC7B50"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38,3</w:t>
            </w:r>
          </w:p>
        </w:tc>
      </w:tr>
      <w:tr w:rsidR="001C1B6C" w:rsidRPr="00E748FA" w14:paraId="67597262" w14:textId="77777777" w:rsidTr="00B141AE">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695" w:type="dxa"/>
          </w:tcPr>
          <w:p w14:paraId="072B24F7" w14:textId="2742FFDA" w:rsidR="001C1B6C" w:rsidRPr="00E748FA" w:rsidRDefault="001C1B6C" w:rsidP="001C1B6C">
            <w:pPr>
              <w:pStyle w:val="Tabelid"/>
              <w:rPr>
                <w:iCs/>
              </w:rPr>
            </w:pPr>
            <w:proofErr w:type="spellStart"/>
            <w:r w:rsidRPr="00E748FA">
              <w:rPr>
                <w:iCs/>
              </w:rPr>
              <w:t>p.m</w:t>
            </w:r>
            <w:proofErr w:type="spellEnd"/>
            <w:r w:rsidRPr="00E748FA">
              <w:rPr>
                <w:iCs/>
              </w:rPr>
              <w:t xml:space="preserve">.: Maksukoormus (D.2 (sh </w:t>
            </w:r>
            <w:proofErr w:type="spellStart"/>
            <w:r w:rsidRPr="00E748FA">
              <w:rPr>
                <w:iCs/>
              </w:rPr>
              <w:t>EL-le</w:t>
            </w:r>
            <w:proofErr w:type="spellEnd"/>
            <w:r w:rsidRPr="00E748FA">
              <w:rPr>
                <w:iCs/>
              </w:rPr>
              <w:t xml:space="preserve"> makstud)+D.5+D.611+D.91-D.995)</w:t>
            </w:r>
          </w:p>
        </w:tc>
        <w:tc>
          <w:tcPr>
            <w:tcW w:w="1013" w:type="dxa"/>
            <w:vAlign w:val="center"/>
          </w:tcPr>
          <w:p w14:paraId="1D35C97D" w14:textId="4FF8634E" w:rsidR="001C1B6C" w:rsidRPr="00E748FA"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10 541,8</w:t>
            </w:r>
          </w:p>
        </w:tc>
        <w:tc>
          <w:tcPr>
            <w:tcW w:w="845" w:type="dxa"/>
            <w:vAlign w:val="center"/>
          </w:tcPr>
          <w:p w14:paraId="337F7BE5" w14:textId="20FDBCDB"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34,4</w:t>
            </w:r>
          </w:p>
        </w:tc>
        <w:tc>
          <w:tcPr>
            <w:tcW w:w="845" w:type="dxa"/>
            <w:vAlign w:val="center"/>
          </w:tcPr>
          <w:p w14:paraId="3CC0D353" w14:textId="3E9312D3"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33,8</w:t>
            </w:r>
          </w:p>
        </w:tc>
        <w:tc>
          <w:tcPr>
            <w:tcW w:w="845" w:type="dxa"/>
            <w:vAlign w:val="center"/>
          </w:tcPr>
          <w:p w14:paraId="4C77F227" w14:textId="38C342F8"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33,2</w:t>
            </w:r>
          </w:p>
        </w:tc>
        <w:tc>
          <w:tcPr>
            <w:tcW w:w="845" w:type="dxa"/>
            <w:vAlign w:val="center"/>
          </w:tcPr>
          <w:p w14:paraId="30919FFB" w14:textId="617D187C"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33,3</w:t>
            </w:r>
          </w:p>
        </w:tc>
        <w:tc>
          <w:tcPr>
            <w:tcW w:w="845" w:type="dxa"/>
            <w:vAlign w:val="center"/>
          </w:tcPr>
          <w:p w14:paraId="5DB3238B" w14:textId="6EFFF712"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33,0</w:t>
            </w:r>
          </w:p>
        </w:tc>
        <w:tc>
          <w:tcPr>
            <w:tcW w:w="848" w:type="dxa"/>
            <w:noWrap/>
            <w:vAlign w:val="center"/>
          </w:tcPr>
          <w:p w14:paraId="3C6770A6" w14:textId="2E68FAAA"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32,8</w:t>
            </w:r>
          </w:p>
        </w:tc>
      </w:tr>
      <w:tr w:rsidR="001C1B6C" w:rsidRPr="00E748FA" w14:paraId="110B51B3" w14:textId="77777777" w:rsidTr="005150BF">
        <w:trPr>
          <w:trHeight w:val="63"/>
        </w:trPr>
        <w:tc>
          <w:tcPr>
            <w:cnfStyle w:val="001000000000" w:firstRow="0" w:lastRow="0" w:firstColumn="1" w:lastColumn="0" w:oddVBand="0" w:evenVBand="0" w:oddHBand="0" w:evenHBand="0" w:firstRowFirstColumn="0" w:firstRowLastColumn="0" w:lastRowFirstColumn="0" w:lastRowLastColumn="0"/>
            <w:tcW w:w="3695" w:type="dxa"/>
          </w:tcPr>
          <w:p w14:paraId="101B69E2" w14:textId="48F2E8B7" w:rsidR="001C1B6C" w:rsidRPr="00E748FA" w:rsidRDefault="001C1B6C" w:rsidP="000D47C6">
            <w:pPr>
              <w:pStyle w:val="Tabelid"/>
              <w:rPr>
                <w:iCs/>
              </w:rPr>
            </w:pPr>
            <w:r w:rsidRPr="001C1B6C">
              <w:rPr>
                <w:iCs/>
              </w:rPr>
              <w:t>Kulud komponentide lõikes</w:t>
            </w:r>
          </w:p>
        </w:tc>
        <w:tc>
          <w:tcPr>
            <w:tcW w:w="1013" w:type="dxa"/>
          </w:tcPr>
          <w:p w14:paraId="06B9A9C5" w14:textId="77777777" w:rsidR="001C1B6C" w:rsidRPr="0092265F" w:rsidRDefault="001C1B6C" w:rsidP="004C5163">
            <w:pPr>
              <w:pStyle w:val="Tabelid"/>
              <w:jc w:val="right"/>
              <w:cnfStyle w:val="000000000000" w:firstRow="0" w:lastRow="0" w:firstColumn="0" w:lastColumn="0" w:oddVBand="0" w:evenVBand="0" w:oddHBand="0" w:evenHBand="0" w:firstRowFirstColumn="0" w:firstRowLastColumn="0" w:lastRowFirstColumn="0" w:lastRowLastColumn="0"/>
            </w:pPr>
          </w:p>
        </w:tc>
        <w:tc>
          <w:tcPr>
            <w:tcW w:w="845" w:type="dxa"/>
          </w:tcPr>
          <w:p w14:paraId="1BB2938E" w14:textId="77777777" w:rsidR="001C1B6C" w:rsidRPr="0092265F" w:rsidRDefault="001C1B6C" w:rsidP="004C5163">
            <w:pPr>
              <w:pStyle w:val="Tabelid"/>
              <w:jc w:val="right"/>
              <w:cnfStyle w:val="000000000000" w:firstRow="0" w:lastRow="0" w:firstColumn="0" w:lastColumn="0" w:oddVBand="0" w:evenVBand="0" w:oddHBand="0" w:evenHBand="0" w:firstRowFirstColumn="0" w:firstRowLastColumn="0" w:lastRowFirstColumn="0" w:lastRowLastColumn="0"/>
            </w:pPr>
          </w:p>
        </w:tc>
        <w:tc>
          <w:tcPr>
            <w:tcW w:w="845" w:type="dxa"/>
          </w:tcPr>
          <w:p w14:paraId="2CD36FC6" w14:textId="77777777" w:rsidR="001C1B6C" w:rsidRPr="0092265F" w:rsidRDefault="001C1B6C" w:rsidP="004C5163">
            <w:pPr>
              <w:pStyle w:val="Tabelid"/>
              <w:jc w:val="right"/>
              <w:cnfStyle w:val="000000000000" w:firstRow="0" w:lastRow="0" w:firstColumn="0" w:lastColumn="0" w:oddVBand="0" w:evenVBand="0" w:oddHBand="0" w:evenHBand="0" w:firstRowFirstColumn="0" w:firstRowLastColumn="0" w:lastRowFirstColumn="0" w:lastRowLastColumn="0"/>
            </w:pPr>
          </w:p>
        </w:tc>
        <w:tc>
          <w:tcPr>
            <w:tcW w:w="845" w:type="dxa"/>
          </w:tcPr>
          <w:p w14:paraId="4673D9D1" w14:textId="77777777" w:rsidR="001C1B6C" w:rsidRPr="0092265F" w:rsidRDefault="001C1B6C" w:rsidP="004C5163">
            <w:pPr>
              <w:pStyle w:val="Tabelid"/>
              <w:jc w:val="right"/>
              <w:cnfStyle w:val="000000000000" w:firstRow="0" w:lastRow="0" w:firstColumn="0" w:lastColumn="0" w:oddVBand="0" w:evenVBand="0" w:oddHBand="0" w:evenHBand="0" w:firstRowFirstColumn="0" w:firstRowLastColumn="0" w:lastRowFirstColumn="0" w:lastRowLastColumn="0"/>
            </w:pPr>
          </w:p>
        </w:tc>
        <w:tc>
          <w:tcPr>
            <w:tcW w:w="845" w:type="dxa"/>
          </w:tcPr>
          <w:p w14:paraId="65780D6D" w14:textId="77777777" w:rsidR="001C1B6C" w:rsidRPr="0092265F" w:rsidRDefault="001C1B6C" w:rsidP="004C5163">
            <w:pPr>
              <w:pStyle w:val="Tabelid"/>
              <w:jc w:val="right"/>
              <w:cnfStyle w:val="000000000000" w:firstRow="0" w:lastRow="0" w:firstColumn="0" w:lastColumn="0" w:oddVBand="0" w:evenVBand="0" w:oddHBand="0" w:evenHBand="0" w:firstRowFirstColumn="0" w:firstRowLastColumn="0" w:lastRowFirstColumn="0" w:lastRowLastColumn="0"/>
            </w:pPr>
          </w:p>
        </w:tc>
        <w:tc>
          <w:tcPr>
            <w:tcW w:w="845" w:type="dxa"/>
          </w:tcPr>
          <w:p w14:paraId="49A7FB05" w14:textId="77777777" w:rsidR="001C1B6C" w:rsidRPr="0092265F" w:rsidRDefault="001C1B6C" w:rsidP="004C5163">
            <w:pPr>
              <w:pStyle w:val="Tabelid"/>
              <w:jc w:val="right"/>
              <w:cnfStyle w:val="000000000000" w:firstRow="0" w:lastRow="0" w:firstColumn="0" w:lastColumn="0" w:oddVBand="0" w:evenVBand="0" w:oddHBand="0" w:evenHBand="0" w:firstRowFirstColumn="0" w:firstRowLastColumn="0" w:lastRowFirstColumn="0" w:lastRowLastColumn="0"/>
            </w:pPr>
          </w:p>
        </w:tc>
        <w:tc>
          <w:tcPr>
            <w:tcW w:w="848" w:type="dxa"/>
            <w:noWrap/>
          </w:tcPr>
          <w:p w14:paraId="4C55C249" w14:textId="77777777" w:rsidR="001C1B6C" w:rsidRPr="0092265F" w:rsidRDefault="001C1B6C" w:rsidP="004C5163">
            <w:pPr>
              <w:pStyle w:val="Tabelid"/>
              <w:jc w:val="right"/>
              <w:cnfStyle w:val="000000000000" w:firstRow="0" w:lastRow="0" w:firstColumn="0" w:lastColumn="0" w:oddVBand="0" w:evenVBand="0" w:oddHBand="0" w:evenHBand="0" w:firstRowFirstColumn="0" w:firstRowLastColumn="0" w:lastRowFirstColumn="0" w:lastRowLastColumn="0"/>
            </w:pPr>
          </w:p>
        </w:tc>
      </w:tr>
      <w:tr w:rsidR="001C1B6C" w:rsidRPr="00E748FA" w14:paraId="07AD9D11" w14:textId="77777777" w:rsidTr="00FE20EC">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695" w:type="dxa"/>
          </w:tcPr>
          <w:p w14:paraId="6D8610E3" w14:textId="762EF81C" w:rsidR="001C1B6C" w:rsidRPr="00E748FA" w:rsidRDefault="001C1B6C" w:rsidP="001C1B6C">
            <w:pPr>
              <w:pStyle w:val="Tabelid"/>
              <w:rPr>
                <w:iCs/>
              </w:rPr>
            </w:pPr>
            <w:r w:rsidRPr="00E748FA">
              <w:rPr>
                <w:iCs/>
              </w:rPr>
              <w:t>17. Hüvitised töötajatele +vahetarbimine</w:t>
            </w:r>
          </w:p>
        </w:tc>
        <w:tc>
          <w:tcPr>
            <w:tcW w:w="1013" w:type="dxa"/>
            <w:vAlign w:val="center"/>
          </w:tcPr>
          <w:p w14:paraId="4B42B4E6" w14:textId="155FC8F9"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5 377,0</w:t>
            </w:r>
          </w:p>
        </w:tc>
        <w:tc>
          <w:tcPr>
            <w:tcW w:w="845" w:type="dxa"/>
            <w:vAlign w:val="center"/>
          </w:tcPr>
          <w:p w14:paraId="5922ACB3" w14:textId="1E734F77"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17,5</w:t>
            </w:r>
          </w:p>
        </w:tc>
        <w:tc>
          <w:tcPr>
            <w:tcW w:w="845" w:type="dxa"/>
            <w:vAlign w:val="center"/>
          </w:tcPr>
          <w:p w14:paraId="2248445E" w14:textId="7BAF795E"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17,2</w:t>
            </w:r>
          </w:p>
        </w:tc>
        <w:tc>
          <w:tcPr>
            <w:tcW w:w="845" w:type="dxa"/>
            <w:vAlign w:val="center"/>
          </w:tcPr>
          <w:p w14:paraId="49738EDC" w14:textId="66B56B72"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16,9</w:t>
            </w:r>
          </w:p>
        </w:tc>
        <w:tc>
          <w:tcPr>
            <w:tcW w:w="845" w:type="dxa"/>
            <w:vAlign w:val="center"/>
          </w:tcPr>
          <w:p w14:paraId="713C570D" w14:textId="50677F35"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16,4</w:t>
            </w:r>
          </w:p>
        </w:tc>
        <w:tc>
          <w:tcPr>
            <w:tcW w:w="845" w:type="dxa"/>
            <w:vAlign w:val="center"/>
          </w:tcPr>
          <w:p w14:paraId="32E4725A" w14:textId="526CC466"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16,1</w:t>
            </w:r>
          </w:p>
        </w:tc>
        <w:tc>
          <w:tcPr>
            <w:tcW w:w="848" w:type="dxa"/>
            <w:noWrap/>
            <w:vAlign w:val="center"/>
          </w:tcPr>
          <w:p w14:paraId="0103BE71" w14:textId="6361EBC8"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15,6</w:t>
            </w:r>
          </w:p>
        </w:tc>
      </w:tr>
      <w:tr w:rsidR="001C1B6C" w:rsidRPr="00E748FA" w14:paraId="12E02D3D" w14:textId="77777777" w:rsidTr="00FE20EC">
        <w:trPr>
          <w:trHeight w:val="63"/>
        </w:trPr>
        <w:tc>
          <w:tcPr>
            <w:cnfStyle w:val="001000000000" w:firstRow="0" w:lastRow="0" w:firstColumn="1" w:lastColumn="0" w:oddVBand="0" w:evenVBand="0" w:oddHBand="0" w:evenHBand="0" w:firstRowFirstColumn="0" w:firstRowLastColumn="0" w:lastRowFirstColumn="0" w:lastRowLastColumn="0"/>
            <w:tcW w:w="3695" w:type="dxa"/>
          </w:tcPr>
          <w:p w14:paraId="2A6F4881" w14:textId="70E3321C" w:rsidR="001C1B6C" w:rsidRPr="00E748FA" w:rsidRDefault="001C1B6C" w:rsidP="001C1B6C">
            <w:pPr>
              <w:pStyle w:val="Tabelid"/>
              <w:rPr>
                <w:iCs/>
              </w:rPr>
            </w:pPr>
            <w:r w:rsidRPr="00E748FA">
              <w:rPr>
                <w:iCs/>
              </w:rPr>
              <w:t>17a. Hüvitised töötajatele</w:t>
            </w:r>
          </w:p>
        </w:tc>
        <w:tc>
          <w:tcPr>
            <w:tcW w:w="1013" w:type="dxa"/>
            <w:vAlign w:val="center"/>
          </w:tcPr>
          <w:p w14:paraId="0A3D4C1B" w14:textId="7EFAE71F"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3 430,4</w:t>
            </w:r>
          </w:p>
        </w:tc>
        <w:tc>
          <w:tcPr>
            <w:tcW w:w="845" w:type="dxa"/>
            <w:vAlign w:val="center"/>
          </w:tcPr>
          <w:p w14:paraId="6C9D4B5C" w14:textId="55AA2CE8"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11,2</w:t>
            </w:r>
          </w:p>
        </w:tc>
        <w:tc>
          <w:tcPr>
            <w:tcW w:w="845" w:type="dxa"/>
            <w:vAlign w:val="center"/>
          </w:tcPr>
          <w:p w14:paraId="6960FCAC" w14:textId="48D5C74F"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10,8</w:t>
            </w:r>
          </w:p>
        </w:tc>
        <w:tc>
          <w:tcPr>
            <w:tcW w:w="845" w:type="dxa"/>
            <w:vAlign w:val="center"/>
          </w:tcPr>
          <w:p w14:paraId="48CA3876" w14:textId="1A59AAAB"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10,8</w:t>
            </w:r>
          </w:p>
        </w:tc>
        <w:tc>
          <w:tcPr>
            <w:tcW w:w="845" w:type="dxa"/>
            <w:vAlign w:val="center"/>
          </w:tcPr>
          <w:p w14:paraId="10E4E8E0" w14:textId="6474FBC8"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10,5</w:t>
            </w:r>
          </w:p>
        </w:tc>
        <w:tc>
          <w:tcPr>
            <w:tcW w:w="845" w:type="dxa"/>
            <w:vAlign w:val="center"/>
          </w:tcPr>
          <w:p w14:paraId="38C6A354" w14:textId="5B0188C4"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10,3</w:t>
            </w:r>
          </w:p>
        </w:tc>
        <w:tc>
          <w:tcPr>
            <w:tcW w:w="848" w:type="dxa"/>
            <w:noWrap/>
            <w:vAlign w:val="center"/>
          </w:tcPr>
          <w:p w14:paraId="3774B212" w14:textId="4FC6C302"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10,1</w:t>
            </w:r>
          </w:p>
        </w:tc>
      </w:tr>
      <w:tr w:rsidR="001C1B6C" w:rsidRPr="00E748FA" w14:paraId="270E080A" w14:textId="77777777" w:rsidTr="00FE20EC">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695" w:type="dxa"/>
          </w:tcPr>
          <w:p w14:paraId="3D3448B0" w14:textId="24AA29E7" w:rsidR="001C1B6C" w:rsidRPr="00E748FA" w:rsidRDefault="001C1B6C" w:rsidP="001C1B6C">
            <w:pPr>
              <w:pStyle w:val="Tabelid"/>
              <w:rPr>
                <w:iCs/>
              </w:rPr>
            </w:pPr>
            <w:r w:rsidRPr="00E748FA">
              <w:rPr>
                <w:iCs/>
              </w:rPr>
              <w:t>17b. Vahetarbimine</w:t>
            </w:r>
          </w:p>
        </w:tc>
        <w:tc>
          <w:tcPr>
            <w:tcW w:w="1013" w:type="dxa"/>
            <w:vAlign w:val="center"/>
          </w:tcPr>
          <w:p w14:paraId="19D56560" w14:textId="3F1246AD"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1 946,6</w:t>
            </w:r>
          </w:p>
        </w:tc>
        <w:tc>
          <w:tcPr>
            <w:tcW w:w="845" w:type="dxa"/>
            <w:vAlign w:val="center"/>
          </w:tcPr>
          <w:p w14:paraId="2A9EDAC2" w14:textId="78DB7C42"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6,3</w:t>
            </w:r>
          </w:p>
        </w:tc>
        <w:tc>
          <w:tcPr>
            <w:tcW w:w="845" w:type="dxa"/>
            <w:vAlign w:val="center"/>
          </w:tcPr>
          <w:p w14:paraId="2B3B17E0" w14:textId="4ABB2ADB"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6,3</w:t>
            </w:r>
          </w:p>
        </w:tc>
        <w:tc>
          <w:tcPr>
            <w:tcW w:w="845" w:type="dxa"/>
            <w:vAlign w:val="center"/>
          </w:tcPr>
          <w:p w14:paraId="150FA639" w14:textId="72059F7E"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6,2</w:t>
            </w:r>
          </w:p>
        </w:tc>
        <w:tc>
          <w:tcPr>
            <w:tcW w:w="845" w:type="dxa"/>
            <w:vAlign w:val="center"/>
          </w:tcPr>
          <w:p w14:paraId="146894E1" w14:textId="7D9E0C49"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5,9</w:t>
            </w:r>
          </w:p>
        </w:tc>
        <w:tc>
          <w:tcPr>
            <w:tcW w:w="845" w:type="dxa"/>
            <w:vAlign w:val="center"/>
          </w:tcPr>
          <w:p w14:paraId="0B2429BF" w14:textId="4670AFE1"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5,7</w:t>
            </w:r>
          </w:p>
        </w:tc>
        <w:tc>
          <w:tcPr>
            <w:tcW w:w="848" w:type="dxa"/>
            <w:noWrap/>
            <w:vAlign w:val="center"/>
          </w:tcPr>
          <w:p w14:paraId="05624C19" w14:textId="75F52B49"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5,5</w:t>
            </w:r>
          </w:p>
        </w:tc>
      </w:tr>
      <w:tr w:rsidR="001C1B6C" w:rsidRPr="00E748FA" w14:paraId="3CE5953C" w14:textId="77777777" w:rsidTr="00FE20EC">
        <w:trPr>
          <w:trHeight w:val="63"/>
        </w:trPr>
        <w:tc>
          <w:tcPr>
            <w:cnfStyle w:val="001000000000" w:firstRow="0" w:lastRow="0" w:firstColumn="1" w:lastColumn="0" w:oddVBand="0" w:evenVBand="0" w:oddHBand="0" w:evenHBand="0" w:firstRowFirstColumn="0" w:firstRowLastColumn="0" w:lastRowFirstColumn="0" w:lastRowLastColumn="0"/>
            <w:tcW w:w="3695" w:type="dxa"/>
          </w:tcPr>
          <w:p w14:paraId="605740DF" w14:textId="07CB49F6" w:rsidR="001C1B6C" w:rsidRPr="00E748FA" w:rsidRDefault="001C1B6C" w:rsidP="001C1B6C">
            <w:pPr>
              <w:pStyle w:val="Tabelid"/>
              <w:rPr>
                <w:iCs/>
              </w:rPr>
            </w:pPr>
            <w:r w:rsidRPr="00E748FA">
              <w:rPr>
                <w:iCs/>
              </w:rPr>
              <w:t>18. Sotsiaalsiirded (18=18a+18b)</w:t>
            </w:r>
          </w:p>
        </w:tc>
        <w:tc>
          <w:tcPr>
            <w:tcW w:w="1013" w:type="dxa"/>
            <w:vAlign w:val="center"/>
          </w:tcPr>
          <w:p w14:paraId="0E6091AB" w14:textId="35002F36"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4 680,3</w:t>
            </w:r>
          </w:p>
        </w:tc>
        <w:tc>
          <w:tcPr>
            <w:tcW w:w="845" w:type="dxa"/>
            <w:vAlign w:val="center"/>
          </w:tcPr>
          <w:p w14:paraId="29C0FAC1" w14:textId="5DE7B338"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15,3</w:t>
            </w:r>
          </w:p>
        </w:tc>
        <w:tc>
          <w:tcPr>
            <w:tcW w:w="845" w:type="dxa"/>
            <w:vAlign w:val="center"/>
          </w:tcPr>
          <w:p w14:paraId="6B608957" w14:textId="711781FA"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15,4</w:t>
            </w:r>
          </w:p>
        </w:tc>
        <w:tc>
          <w:tcPr>
            <w:tcW w:w="845" w:type="dxa"/>
            <w:vAlign w:val="center"/>
          </w:tcPr>
          <w:p w14:paraId="7181B687" w14:textId="5A37CFF8"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15,6</w:t>
            </w:r>
          </w:p>
        </w:tc>
        <w:tc>
          <w:tcPr>
            <w:tcW w:w="845" w:type="dxa"/>
            <w:vAlign w:val="center"/>
          </w:tcPr>
          <w:p w14:paraId="184456DA" w14:textId="650D4E00"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15,6</w:t>
            </w:r>
          </w:p>
        </w:tc>
        <w:tc>
          <w:tcPr>
            <w:tcW w:w="845" w:type="dxa"/>
            <w:vAlign w:val="center"/>
          </w:tcPr>
          <w:p w14:paraId="10C49BC6" w14:textId="36B0D344"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15,8</w:t>
            </w:r>
          </w:p>
        </w:tc>
        <w:tc>
          <w:tcPr>
            <w:tcW w:w="848" w:type="dxa"/>
            <w:noWrap/>
            <w:vAlign w:val="center"/>
          </w:tcPr>
          <w:p w14:paraId="6198C5B5" w14:textId="44C1B3E3"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15,9</w:t>
            </w:r>
          </w:p>
        </w:tc>
      </w:tr>
      <w:tr w:rsidR="001C1B6C" w:rsidRPr="00E748FA" w14:paraId="56F0AC7A" w14:textId="77777777" w:rsidTr="00FE20EC">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695" w:type="dxa"/>
          </w:tcPr>
          <w:p w14:paraId="4E9AE887" w14:textId="4E8301F5" w:rsidR="001C1B6C" w:rsidRPr="00E748FA" w:rsidRDefault="001C1B6C" w:rsidP="001C1B6C">
            <w:pPr>
              <w:pStyle w:val="Tabelid"/>
              <w:rPr>
                <w:iCs/>
              </w:rPr>
            </w:pPr>
            <w:r w:rsidRPr="00E748FA">
              <w:rPr>
                <w:iCs/>
              </w:rPr>
              <w:t>millest töötushüvitised</w:t>
            </w:r>
          </w:p>
        </w:tc>
        <w:tc>
          <w:tcPr>
            <w:tcW w:w="1013" w:type="dxa"/>
            <w:vAlign w:val="center"/>
          </w:tcPr>
          <w:p w14:paraId="27D752B2" w14:textId="7B440803"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187,3</w:t>
            </w:r>
          </w:p>
        </w:tc>
        <w:tc>
          <w:tcPr>
            <w:tcW w:w="845" w:type="dxa"/>
            <w:vAlign w:val="center"/>
          </w:tcPr>
          <w:p w14:paraId="0A8C2D5E" w14:textId="678D4782"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0,6</w:t>
            </w:r>
          </w:p>
        </w:tc>
        <w:tc>
          <w:tcPr>
            <w:tcW w:w="845" w:type="dxa"/>
            <w:vAlign w:val="center"/>
          </w:tcPr>
          <w:p w14:paraId="3EB51330" w14:textId="57E370EA"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0,8</w:t>
            </w:r>
          </w:p>
        </w:tc>
        <w:tc>
          <w:tcPr>
            <w:tcW w:w="845" w:type="dxa"/>
            <w:vAlign w:val="center"/>
          </w:tcPr>
          <w:p w14:paraId="43AE0070" w14:textId="14FE7836"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0,7</w:t>
            </w:r>
          </w:p>
        </w:tc>
        <w:tc>
          <w:tcPr>
            <w:tcW w:w="845" w:type="dxa"/>
            <w:vAlign w:val="center"/>
          </w:tcPr>
          <w:p w14:paraId="0553A707" w14:textId="6CBF4362"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0,7</w:t>
            </w:r>
          </w:p>
        </w:tc>
        <w:tc>
          <w:tcPr>
            <w:tcW w:w="845" w:type="dxa"/>
            <w:vAlign w:val="center"/>
          </w:tcPr>
          <w:p w14:paraId="753B5EF4" w14:textId="2438A5BA"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0,7</w:t>
            </w:r>
          </w:p>
        </w:tc>
        <w:tc>
          <w:tcPr>
            <w:tcW w:w="848" w:type="dxa"/>
            <w:noWrap/>
            <w:vAlign w:val="center"/>
          </w:tcPr>
          <w:p w14:paraId="01B6A550" w14:textId="5EBA1D12"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0,6</w:t>
            </w:r>
          </w:p>
        </w:tc>
      </w:tr>
      <w:tr w:rsidR="001C1B6C" w:rsidRPr="00E748FA" w14:paraId="4B1C21DC" w14:textId="77777777" w:rsidTr="00FE20EC">
        <w:trPr>
          <w:trHeight w:val="63"/>
        </w:trPr>
        <w:tc>
          <w:tcPr>
            <w:cnfStyle w:val="001000000000" w:firstRow="0" w:lastRow="0" w:firstColumn="1" w:lastColumn="0" w:oddVBand="0" w:evenVBand="0" w:oddHBand="0" w:evenHBand="0" w:firstRowFirstColumn="0" w:firstRowLastColumn="0" w:lastRowFirstColumn="0" w:lastRowLastColumn="0"/>
            <w:tcW w:w="3695" w:type="dxa"/>
          </w:tcPr>
          <w:p w14:paraId="6A15A9EC" w14:textId="2D7ECB5A" w:rsidR="001C1B6C" w:rsidRPr="00E748FA" w:rsidRDefault="001C1B6C" w:rsidP="001C1B6C">
            <w:pPr>
              <w:pStyle w:val="Tabelid"/>
              <w:rPr>
                <w:iCs/>
              </w:rPr>
            </w:pPr>
            <w:r w:rsidRPr="00E748FA">
              <w:rPr>
                <w:iCs/>
              </w:rPr>
              <w:t xml:space="preserve">18a. Mitterahalised sotsiaalsiirded </w:t>
            </w:r>
          </w:p>
        </w:tc>
        <w:tc>
          <w:tcPr>
            <w:tcW w:w="1013" w:type="dxa"/>
            <w:vAlign w:val="center"/>
          </w:tcPr>
          <w:p w14:paraId="5C24BF44" w14:textId="2B6A50E9"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765,7</w:t>
            </w:r>
          </w:p>
        </w:tc>
        <w:tc>
          <w:tcPr>
            <w:tcW w:w="845" w:type="dxa"/>
            <w:vAlign w:val="center"/>
          </w:tcPr>
          <w:p w14:paraId="08CA6933" w14:textId="533A8BD3"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2,5</w:t>
            </w:r>
          </w:p>
        </w:tc>
        <w:tc>
          <w:tcPr>
            <w:tcW w:w="845" w:type="dxa"/>
            <w:vAlign w:val="center"/>
          </w:tcPr>
          <w:p w14:paraId="583286AB" w14:textId="5D7C0E1D"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2,5</w:t>
            </w:r>
          </w:p>
        </w:tc>
        <w:tc>
          <w:tcPr>
            <w:tcW w:w="845" w:type="dxa"/>
            <w:vAlign w:val="center"/>
          </w:tcPr>
          <w:p w14:paraId="2565305B" w14:textId="6D46D3C0"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2,4</w:t>
            </w:r>
          </w:p>
        </w:tc>
        <w:tc>
          <w:tcPr>
            <w:tcW w:w="845" w:type="dxa"/>
            <w:vAlign w:val="center"/>
          </w:tcPr>
          <w:p w14:paraId="35FCCB8E" w14:textId="2E32B315"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2,4</w:t>
            </w:r>
          </w:p>
        </w:tc>
        <w:tc>
          <w:tcPr>
            <w:tcW w:w="845" w:type="dxa"/>
            <w:vAlign w:val="center"/>
          </w:tcPr>
          <w:p w14:paraId="3E19DEC7" w14:textId="0D0C45D1"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2,4</w:t>
            </w:r>
          </w:p>
        </w:tc>
        <w:tc>
          <w:tcPr>
            <w:tcW w:w="848" w:type="dxa"/>
            <w:noWrap/>
            <w:vAlign w:val="center"/>
          </w:tcPr>
          <w:p w14:paraId="01844A1E" w14:textId="4D51093C"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2,4</w:t>
            </w:r>
          </w:p>
        </w:tc>
      </w:tr>
      <w:tr w:rsidR="001C1B6C" w:rsidRPr="00E748FA" w14:paraId="21F7665D" w14:textId="77777777" w:rsidTr="00FE20EC">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695" w:type="dxa"/>
          </w:tcPr>
          <w:p w14:paraId="114BE146" w14:textId="0EE52B23" w:rsidR="001C1B6C" w:rsidRPr="00E748FA" w:rsidRDefault="001C1B6C" w:rsidP="001C1B6C">
            <w:pPr>
              <w:pStyle w:val="Tabelid"/>
              <w:rPr>
                <w:iCs/>
              </w:rPr>
            </w:pPr>
            <w:r w:rsidRPr="00E748FA">
              <w:rPr>
                <w:iCs/>
              </w:rPr>
              <w:t>18b. Rahalised sotsiaalsiirded</w:t>
            </w:r>
          </w:p>
        </w:tc>
        <w:tc>
          <w:tcPr>
            <w:tcW w:w="1013" w:type="dxa"/>
            <w:vAlign w:val="center"/>
          </w:tcPr>
          <w:p w14:paraId="270DEC09" w14:textId="6E4F15E0"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3 914,6</w:t>
            </w:r>
          </w:p>
        </w:tc>
        <w:tc>
          <w:tcPr>
            <w:tcW w:w="845" w:type="dxa"/>
            <w:vAlign w:val="center"/>
          </w:tcPr>
          <w:p w14:paraId="5C24D22F" w14:textId="0EDB818D"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12,8</w:t>
            </w:r>
          </w:p>
        </w:tc>
        <w:tc>
          <w:tcPr>
            <w:tcW w:w="845" w:type="dxa"/>
            <w:vAlign w:val="center"/>
          </w:tcPr>
          <w:p w14:paraId="0BA048C4" w14:textId="7602D4BA"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12,9</w:t>
            </w:r>
          </w:p>
        </w:tc>
        <w:tc>
          <w:tcPr>
            <w:tcW w:w="845" w:type="dxa"/>
            <w:vAlign w:val="center"/>
          </w:tcPr>
          <w:p w14:paraId="1F144C11" w14:textId="746CB997"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13,1</w:t>
            </w:r>
          </w:p>
        </w:tc>
        <w:tc>
          <w:tcPr>
            <w:tcW w:w="845" w:type="dxa"/>
            <w:vAlign w:val="center"/>
          </w:tcPr>
          <w:p w14:paraId="68B6D8E1" w14:textId="718BE0A6"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13,2</w:t>
            </w:r>
          </w:p>
        </w:tc>
        <w:tc>
          <w:tcPr>
            <w:tcW w:w="845" w:type="dxa"/>
            <w:vAlign w:val="center"/>
          </w:tcPr>
          <w:p w14:paraId="49AB0C20" w14:textId="23162463"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13,4</w:t>
            </w:r>
          </w:p>
        </w:tc>
        <w:tc>
          <w:tcPr>
            <w:tcW w:w="848" w:type="dxa"/>
            <w:noWrap/>
            <w:vAlign w:val="center"/>
          </w:tcPr>
          <w:p w14:paraId="41FD000A" w14:textId="4C4DDF81"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13,5</w:t>
            </w:r>
          </w:p>
        </w:tc>
      </w:tr>
      <w:tr w:rsidR="001C1B6C" w:rsidRPr="00E748FA" w14:paraId="1CA53E88" w14:textId="77777777" w:rsidTr="00FE20EC">
        <w:trPr>
          <w:trHeight w:val="63"/>
        </w:trPr>
        <w:tc>
          <w:tcPr>
            <w:cnfStyle w:val="001000000000" w:firstRow="0" w:lastRow="0" w:firstColumn="1" w:lastColumn="0" w:oddVBand="0" w:evenVBand="0" w:oddHBand="0" w:evenHBand="0" w:firstRowFirstColumn="0" w:firstRowLastColumn="0" w:lastRowFirstColumn="0" w:lastRowLastColumn="0"/>
            <w:tcW w:w="3695" w:type="dxa"/>
          </w:tcPr>
          <w:p w14:paraId="2B1EB263" w14:textId="6C955A7E" w:rsidR="001C1B6C" w:rsidRPr="00E748FA" w:rsidRDefault="001C1B6C" w:rsidP="001C1B6C">
            <w:pPr>
              <w:pStyle w:val="Tabelid"/>
              <w:rPr>
                <w:iCs/>
              </w:rPr>
            </w:pPr>
            <w:r w:rsidRPr="00E748FA">
              <w:rPr>
                <w:iCs/>
              </w:rPr>
              <w:t>19.=9. Intressikulu</w:t>
            </w:r>
          </w:p>
        </w:tc>
        <w:tc>
          <w:tcPr>
            <w:tcW w:w="1013" w:type="dxa"/>
            <w:vAlign w:val="center"/>
          </w:tcPr>
          <w:p w14:paraId="53AE4712" w14:textId="075656D4"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8,4</w:t>
            </w:r>
          </w:p>
        </w:tc>
        <w:tc>
          <w:tcPr>
            <w:tcW w:w="845" w:type="dxa"/>
            <w:vAlign w:val="center"/>
          </w:tcPr>
          <w:p w14:paraId="5FE965D6" w14:textId="408F583A"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0,0</w:t>
            </w:r>
          </w:p>
        </w:tc>
        <w:tc>
          <w:tcPr>
            <w:tcW w:w="845" w:type="dxa"/>
            <w:vAlign w:val="center"/>
          </w:tcPr>
          <w:p w14:paraId="17F4BCF4" w14:textId="513F539A"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0,0</w:t>
            </w:r>
          </w:p>
        </w:tc>
        <w:tc>
          <w:tcPr>
            <w:tcW w:w="845" w:type="dxa"/>
            <w:vAlign w:val="center"/>
          </w:tcPr>
          <w:p w14:paraId="230199EF" w14:textId="42DB6669"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0,2</w:t>
            </w:r>
          </w:p>
        </w:tc>
        <w:tc>
          <w:tcPr>
            <w:tcW w:w="845" w:type="dxa"/>
            <w:vAlign w:val="center"/>
          </w:tcPr>
          <w:p w14:paraId="0F7B2FA2" w14:textId="4391BFBF"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0,3</w:t>
            </w:r>
          </w:p>
        </w:tc>
        <w:tc>
          <w:tcPr>
            <w:tcW w:w="845" w:type="dxa"/>
            <w:vAlign w:val="center"/>
          </w:tcPr>
          <w:p w14:paraId="03DF0A1C" w14:textId="4AC4E0C6"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0,3</w:t>
            </w:r>
          </w:p>
        </w:tc>
        <w:tc>
          <w:tcPr>
            <w:tcW w:w="848" w:type="dxa"/>
            <w:noWrap/>
            <w:vAlign w:val="center"/>
          </w:tcPr>
          <w:p w14:paraId="1E9386C0" w14:textId="7987AEA1"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0,3</w:t>
            </w:r>
          </w:p>
        </w:tc>
      </w:tr>
      <w:tr w:rsidR="001C1B6C" w:rsidRPr="00E748FA" w14:paraId="6310CB16" w14:textId="77777777" w:rsidTr="00FE20EC">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695" w:type="dxa"/>
          </w:tcPr>
          <w:p w14:paraId="0A5CA587" w14:textId="31A05F5F" w:rsidR="001C1B6C" w:rsidRPr="00E748FA" w:rsidRDefault="001C1B6C" w:rsidP="001C1B6C">
            <w:pPr>
              <w:pStyle w:val="Tabelid"/>
              <w:rPr>
                <w:iCs/>
              </w:rPr>
            </w:pPr>
            <w:r w:rsidRPr="00E748FA">
              <w:rPr>
                <w:iCs/>
              </w:rPr>
              <w:t>20. Subsiidiumid</w:t>
            </w:r>
          </w:p>
        </w:tc>
        <w:tc>
          <w:tcPr>
            <w:tcW w:w="1013" w:type="dxa"/>
            <w:vAlign w:val="center"/>
          </w:tcPr>
          <w:p w14:paraId="1F46CF69" w14:textId="61C3A8AB"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295,9</w:t>
            </w:r>
          </w:p>
        </w:tc>
        <w:tc>
          <w:tcPr>
            <w:tcW w:w="845" w:type="dxa"/>
            <w:vAlign w:val="center"/>
          </w:tcPr>
          <w:p w14:paraId="7A8FBECA" w14:textId="3F7481C0"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1,0</w:t>
            </w:r>
          </w:p>
        </w:tc>
        <w:tc>
          <w:tcPr>
            <w:tcW w:w="845" w:type="dxa"/>
            <w:vAlign w:val="center"/>
          </w:tcPr>
          <w:p w14:paraId="77974ECE" w14:textId="3AC667B6"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0,8</w:t>
            </w:r>
          </w:p>
        </w:tc>
        <w:tc>
          <w:tcPr>
            <w:tcW w:w="845" w:type="dxa"/>
            <w:vAlign w:val="center"/>
          </w:tcPr>
          <w:p w14:paraId="02B725C2" w14:textId="63FD4406"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0,5</w:t>
            </w:r>
          </w:p>
        </w:tc>
        <w:tc>
          <w:tcPr>
            <w:tcW w:w="845" w:type="dxa"/>
            <w:vAlign w:val="center"/>
          </w:tcPr>
          <w:p w14:paraId="47302CC3" w14:textId="32D9F2A5"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0,5</w:t>
            </w:r>
          </w:p>
        </w:tc>
        <w:tc>
          <w:tcPr>
            <w:tcW w:w="845" w:type="dxa"/>
            <w:vAlign w:val="center"/>
          </w:tcPr>
          <w:p w14:paraId="1E3211E8" w14:textId="6C444C28"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0,5</w:t>
            </w:r>
          </w:p>
        </w:tc>
        <w:tc>
          <w:tcPr>
            <w:tcW w:w="848" w:type="dxa"/>
            <w:noWrap/>
            <w:vAlign w:val="center"/>
          </w:tcPr>
          <w:p w14:paraId="01E5AC54" w14:textId="624B8964"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0,5</w:t>
            </w:r>
          </w:p>
        </w:tc>
      </w:tr>
      <w:tr w:rsidR="001C1B6C" w:rsidRPr="00E748FA" w14:paraId="63DCC453" w14:textId="77777777" w:rsidTr="00FE20EC">
        <w:trPr>
          <w:trHeight w:val="63"/>
        </w:trPr>
        <w:tc>
          <w:tcPr>
            <w:cnfStyle w:val="001000000000" w:firstRow="0" w:lastRow="0" w:firstColumn="1" w:lastColumn="0" w:oddVBand="0" w:evenVBand="0" w:oddHBand="0" w:evenHBand="0" w:firstRowFirstColumn="0" w:firstRowLastColumn="0" w:lastRowFirstColumn="0" w:lastRowLastColumn="0"/>
            <w:tcW w:w="3695" w:type="dxa"/>
          </w:tcPr>
          <w:p w14:paraId="164BEA28" w14:textId="426D9337" w:rsidR="001C1B6C" w:rsidRPr="00E748FA" w:rsidRDefault="001C1B6C" w:rsidP="001C1B6C">
            <w:pPr>
              <w:pStyle w:val="Tabelid"/>
              <w:rPr>
                <w:iCs/>
              </w:rPr>
            </w:pPr>
            <w:r w:rsidRPr="00E748FA">
              <w:rPr>
                <w:iCs/>
              </w:rPr>
              <w:t>21. Kapitali kogumahutus</w:t>
            </w:r>
          </w:p>
        </w:tc>
        <w:tc>
          <w:tcPr>
            <w:tcW w:w="1013" w:type="dxa"/>
            <w:vAlign w:val="center"/>
          </w:tcPr>
          <w:p w14:paraId="7962BEDE" w14:textId="3FB2236C"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1 741,9</w:t>
            </w:r>
          </w:p>
        </w:tc>
        <w:tc>
          <w:tcPr>
            <w:tcW w:w="845" w:type="dxa"/>
            <w:vAlign w:val="center"/>
          </w:tcPr>
          <w:p w14:paraId="5C414FA5" w14:textId="658CE2C2"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5,7</w:t>
            </w:r>
          </w:p>
        </w:tc>
        <w:tc>
          <w:tcPr>
            <w:tcW w:w="845" w:type="dxa"/>
            <w:vAlign w:val="center"/>
          </w:tcPr>
          <w:p w14:paraId="509956AA" w14:textId="0F433E0F"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6,7</w:t>
            </w:r>
          </w:p>
        </w:tc>
        <w:tc>
          <w:tcPr>
            <w:tcW w:w="845" w:type="dxa"/>
            <w:vAlign w:val="center"/>
          </w:tcPr>
          <w:p w14:paraId="259E9CEA" w14:textId="08F3DB18"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7,6</w:t>
            </w:r>
          </w:p>
        </w:tc>
        <w:tc>
          <w:tcPr>
            <w:tcW w:w="845" w:type="dxa"/>
            <w:vAlign w:val="center"/>
          </w:tcPr>
          <w:p w14:paraId="50F678BA" w14:textId="50BB7B58"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7,6</w:t>
            </w:r>
          </w:p>
        </w:tc>
        <w:tc>
          <w:tcPr>
            <w:tcW w:w="845" w:type="dxa"/>
            <w:vAlign w:val="center"/>
          </w:tcPr>
          <w:p w14:paraId="1A82487F" w14:textId="637B090D"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6,7</w:t>
            </w:r>
          </w:p>
        </w:tc>
        <w:tc>
          <w:tcPr>
            <w:tcW w:w="848" w:type="dxa"/>
            <w:noWrap/>
            <w:vAlign w:val="center"/>
          </w:tcPr>
          <w:p w14:paraId="1323EA36" w14:textId="4AECA8C4"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6,1</w:t>
            </w:r>
          </w:p>
        </w:tc>
      </w:tr>
      <w:tr w:rsidR="001C1B6C" w:rsidRPr="00E748FA" w14:paraId="2E89F483" w14:textId="77777777" w:rsidTr="00FE20EC">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695" w:type="dxa"/>
          </w:tcPr>
          <w:p w14:paraId="27649286" w14:textId="5297EB02" w:rsidR="001C1B6C" w:rsidRPr="00E748FA" w:rsidRDefault="001C1B6C" w:rsidP="001C1B6C">
            <w:pPr>
              <w:pStyle w:val="Tabelid"/>
              <w:rPr>
                <w:iCs/>
              </w:rPr>
            </w:pPr>
            <w:r w:rsidRPr="00E748FA">
              <w:rPr>
                <w:iCs/>
              </w:rPr>
              <w:t>22. Kapitalisiirded</w:t>
            </w:r>
          </w:p>
        </w:tc>
        <w:tc>
          <w:tcPr>
            <w:tcW w:w="1013" w:type="dxa"/>
            <w:vAlign w:val="center"/>
          </w:tcPr>
          <w:p w14:paraId="5855E782" w14:textId="2495EA70"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176,4</w:t>
            </w:r>
          </w:p>
        </w:tc>
        <w:tc>
          <w:tcPr>
            <w:tcW w:w="845" w:type="dxa"/>
            <w:vAlign w:val="center"/>
          </w:tcPr>
          <w:p w14:paraId="729F5558" w14:textId="5382591A"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0,6</w:t>
            </w:r>
          </w:p>
        </w:tc>
        <w:tc>
          <w:tcPr>
            <w:tcW w:w="845" w:type="dxa"/>
            <w:vAlign w:val="center"/>
          </w:tcPr>
          <w:p w14:paraId="6599F91E" w14:textId="1F9151D5"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1,0</w:t>
            </w:r>
          </w:p>
        </w:tc>
        <w:tc>
          <w:tcPr>
            <w:tcW w:w="845" w:type="dxa"/>
            <w:vAlign w:val="center"/>
          </w:tcPr>
          <w:p w14:paraId="5EF6E051" w14:textId="1E8276C8"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0,8</w:t>
            </w:r>
          </w:p>
        </w:tc>
        <w:tc>
          <w:tcPr>
            <w:tcW w:w="845" w:type="dxa"/>
            <w:vAlign w:val="center"/>
          </w:tcPr>
          <w:p w14:paraId="40087D42" w14:textId="1E0BD302"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0,7</w:t>
            </w:r>
          </w:p>
        </w:tc>
        <w:tc>
          <w:tcPr>
            <w:tcW w:w="845" w:type="dxa"/>
            <w:vAlign w:val="center"/>
          </w:tcPr>
          <w:p w14:paraId="20BA3428" w14:textId="20669351"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0,4</w:t>
            </w:r>
          </w:p>
        </w:tc>
        <w:tc>
          <w:tcPr>
            <w:tcW w:w="848" w:type="dxa"/>
            <w:noWrap/>
            <w:vAlign w:val="center"/>
          </w:tcPr>
          <w:p w14:paraId="226F9A94" w14:textId="7E6DB188"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0,3</w:t>
            </w:r>
          </w:p>
        </w:tc>
      </w:tr>
      <w:tr w:rsidR="001C1B6C" w:rsidRPr="00E748FA" w14:paraId="15D9811F" w14:textId="77777777" w:rsidTr="00FE20EC">
        <w:trPr>
          <w:trHeight w:val="63"/>
        </w:trPr>
        <w:tc>
          <w:tcPr>
            <w:cnfStyle w:val="001000000000" w:firstRow="0" w:lastRow="0" w:firstColumn="1" w:lastColumn="0" w:oddVBand="0" w:evenVBand="0" w:oddHBand="0" w:evenHBand="0" w:firstRowFirstColumn="0" w:firstRowLastColumn="0" w:lastRowFirstColumn="0" w:lastRowLastColumn="0"/>
            <w:tcW w:w="3695" w:type="dxa"/>
          </w:tcPr>
          <w:p w14:paraId="7D7609C5" w14:textId="7B0645F9" w:rsidR="001C1B6C" w:rsidRPr="00E748FA" w:rsidRDefault="001C1B6C" w:rsidP="001C1B6C">
            <w:pPr>
              <w:pStyle w:val="Tabelid"/>
              <w:rPr>
                <w:iCs/>
              </w:rPr>
            </w:pPr>
            <w:r w:rsidRPr="00E748FA">
              <w:rPr>
                <w:iCs/>
              </w:rPr>
              <w:t>23. Muud kulud</w:t>
            </w:r>
          </w:p>
        </w:tc>
        <w:tc>
          <w:tcPr>
            <w:tcW w:w="1013" w:type="dxa"/>
            <w:vAlign w:val="center"/>
          </w:tcPr>
          <w:p w14:paraId="3461D602" w14:textId="36DC866C"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700,7</w:t>
            </w:r>
          </w:p>
        </w:tc>
        <w:tc>
          <w:tcPr>
            <w:tcW w:w="845" w:type="dxa"/>
            <w:vAlign w:val="center"/>
          </w:tcPr>
          <w:p w14:paraId="285BE5EB" w14:textId="208C3F80"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2,3</w:t>
            </w:r>
          </w:p>
        </w:tc>
        <w:tc>
          <w:tcPr>
            <w:tcW w:w="845" w:type="dxa"/>
            <w:vAlign w:val="center"/>
          </w:tcPr>
          <w:p w14:paraId="68901E05" w14:textId="4A746080"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2,1</w:t>
            </w:r>
          </w:p>
        </w:tc>
        <w:tc>
          <w:tcPr>
            <w:tcW w:w="845" w:type="dxa"/>
            <w:vAlign w:val="center"/>
          </w:tcPr>
          <w:p w14:paraId="7BDC81C0" w14:textId="3900AE33"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2,0</w:t>
            </w:r>
          </w:p>
        </w:tc>
        <w:tc>
          <w:tcPr>
            <w:tcW w:w="845" w:type="dxa"/>
            <w:vAlign w:val="center"/>
          </w:tcPr>
          <w:p w14:paraId="556A9E15" w14:textId="0D42AE39"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2,0</w:t>
            </w:r>
          </w:p>
        </w:tc>
        <w:tc>
          <w:tcPr>
            <w:tcW w:w="845" w:type="dxa"/>
            <w:vAlign w:val="center"/>
          </w:tcPr>
          <w:p w14:paraId="763F64DE" w14:textId="120BDB81"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1,8</w:t>
            </w:r>
          </w:p>
        </w:tc>
        <w:tc>
          <w:tcPr>
            <w:tcW w:w="848" w:type="dxa"/>
            <w:noWrap/>
            <w:vAlign w:val="center"/>
          </w:tcPr>
          <w:p w14:paraId="790D7F4C" w14:textId="083572EB"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1,7</w:t>
            </w:r>
          </w:p>
        </w:tc>
      </w:tr>
      <w:tr w:rsidR="001C1B6C" w:rsidRPr="00E748FA" w14:paraId="73D333D0" w14:textId="77777777" w:rsidTr="00FE20EC">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695" w:type="dxa"/>
          </w:tcPr>
          <w:p w14:paraId="543B3523" w14:textId="49F7BDA1" w:rsidR="001C1B6C" w:rsidRPr="00E748FA" w:rsidRDefault="001C1B6C" w:rsidP="001C1B6C">
            <w:pPr>
              <w:pStyle w:val="Tabelid"/>
              <w:rPr>
                <w:iCs/>
              </w:rPr>
            </w:pPr>
            <w:r w:rsidRPr="00E748FA">
              <w:rPr>
                <w:iCs/>
              </w:rPr>
              <w:t>24.=7. Kulud kokku</w:t>
            </w:r>
          </w:p>
        </w:tc>
        <w:tc>
          <w:tcPr>
            <w:tcW w:w="1013" w:type="dxa"/>
            <w:vAlign w:val="center"/>
          </w:tcPr>
          <w:p w14:paraId="7E72665D" w14:textId="0E914D93"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12 980,6</w:t>
            </w:r>
          </w:p>
        </w:tc>
        <w:tc>
          <w:tcPr>
            <w:tcW w:w="845" w:type="dxa"/>
            <w:vAlign w:val="center"/>
          </w:tcPr>
          <w:p w14:paraId="05CDF826" w14:textId="48C0C01D"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42,3</w:t>
            </w:r>
          </w:p>
        </w:tc>
        <w:tc>
          <w:tcPr>
            <w:tcW w:w="845" w:type="dxa"/>
            <w:vAlign w:val="center"/>
          </w:tcPr>
          <w:p w14:paraId="49B56EBE" w14:textId="2D78008B"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43,3</w:t>
            </w:r>
          </w:p>
        </w:tc>
        <w:tc>
          <w:tcPr>
            <w:tcW w:w="845" w:type="dxa"/>
            <w:vAlign w:val="center"/>
          </w:tcPr>
          <w:p w14:paraId="50665DEB" w14:textId="41C3A684"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43,6</w:t>
            </w:r>
          </w:p>
        </w:tc>
        <w:tc>
          <w:tcPr>
            <w:tcW w:w="845" w:type="dxa"/>
            <w:vAlign w:val="center"/>
          </w:tcPr>
          <w:p w14:paraId="022DD39F" w14:textId="3E057A2D"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43,1</w:t>
            </w:r>
          </w:p>
        </w:tc>
        <w:tc>
          <w:tcPr>
            <w:tcW w:w="845" w:type="dxa"/>
            <w:vAlign w:val="center"/>
          </w:tcPr>
          <w:p w14:paraId="331C26AC" w14:textId="1A526572"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41,6</w:t>
            </w:r>
          </w:p>
        </w:tc>
        <w:tc>
          <w:tcPr>
            <w:tcW w:w="848" w:type="dxa"/>
            <w:noWrap/>
            <w:vAlign w:val="center"/>
          </w:tcPr>
          <w:p w14:paraId="5A0458E5" w14:textId="3A0CFBD9" w:rsidR="001C1B6C" w:rsidRPr="001C1B6C" w:rsidRDefault="001C1B6C" w:rsidP="001C1B6C">
            <w:pPr>
              <w:pStyle w:val="Tabelid"/>
              <w:jc w:val="right"/>
              <w:cnfStyle w:val="000000100000" w:firstRow="0" w:lastRow="0" w:firstColumn="0" w:lastColumn="0" w:oddVBand="0" w:evenVBand="0" w:oddHBand="1" w:evenHBand="0" w:firstRowFirstColumn="0" w:firstRowLastColumn="0" w:lastRowFirstColumn="0" w:lastRowLastColumn="0"/>
            </w:pPr>
            <w:r w:rsidRPr="001C1B6C">
              <w:t>40,4</w:t>
            </w:r>
          </w:p>
        </w:tc>
      </w:tr>
      <w:tr w:rsidR="001C1B6C" w:rsidRPr="0025424F" w14:paraId="36329A24" w14:textId="77777777" w:rsidTr="00FE20EC">
        <w:trPr>
          <w:trHeight w:val="63"/>
        </w:trPr>
        <w:tc>
          <w:tcPr>
            <w:cnfStyle w:val="001000000000" w:firstRow="0" w:lastRow="0" w:firstColumn="1" w:lastColumn="0" w:oddVBand="0" w:evenVBand="0" w:oddHBand="0" w:evenHBand="0" w:firstRowFirstColumn="0" w:firstRowLastColumn="0" w:lastRowFirstColumn="0" w:lastRowLastColumn="0"/>
            <w:tcW w:w="3695" w:type="dxa"/>
          </w:tcPr>
          <w:p w14:paraId="08779E9D" w14:textId="276A2CB9" w:rsidR="001C1B6C" w:rsidRPr="00E748FA" w:rsidRDefault="001C1B6C" w:rsidP="001C1B6C">
            <w:pPr>
              <w:pStyle w:val="Tabelid"/>
              <w:rPr>
                <w:iCs/>
              </w:rPr>
            </w:pPr>
            <w:proofErr w:type="spellStart"/>
            <w:r w:rsidRPr="00E748FA">
              <w:rPr>
                <w:iCs/>
              </w:rPr>
              <w:t>p.m</w:t>
            </w:r>
            <w:proofErr w:type="spellEnd"/>
            <w:r w:rsidRPr="00E748FA">
              <w:rPr>
                <w:iCs/>
              </w:rPr>
              <w:t>. Valitsussektori tarbimine</w:t>
            </w:r>
          </w:p>
        </w:tc>
        <w:tc>
          <w:tcPr>
            <w:tcW w:w="1013" w:type="dxa"/>
            <w:vAlign w:val="center"/>
          </w:tcPr>
          <w:p w14:paraId="700C9DD0" w14:textId="22AEACD6"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6 225,1</w:t>
            </w:r>
          </w:p>
        </w:tc>
        <w:tc>
          <w:tcPr>
            <w:tcW w:w="845" w:type="dxa"/>
            <w:vAlign w:val="center"/>
          </w:tcPr>
          <w:p w14:paraId="2F0F17EB" w14:textId="23955492"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20,3</w:t>
            </w:r>
          </w:p>
        </w:tc>
        <w:tc>
          <w:tcPr>
            <w:tcW w:w="845" w:type="dxa"/>
            <w:vAlign w:val="center"/>
          </w:tcPr>
          <w:p w14:paraId="711566D0" w14:textId="78AB7CC2" w:rsidR="001C1B6C" w:rsidRPr="001C1B6C" w:rsidRDefault="00863E47" w:rsidP="001C1B6C">
            <w:pPr>
              <w:pStyle w:val="Tabelid"/>
              <w:jc w:val="right"/>
              <w:cnfStyle w:val="000000000000" w:firstRow="0" w:lastRow="0" w:firstColumn="0" w:lastColumn="0" w:oddVBand="0" w:evenVBand="0" w:oddHBand="0" w:evenHBand="0" w:firstRowFirstColumn="0" w:firstRowLastColumn="0" w:lastRowFirstColumn="0" w:lastRowLastColumn="0"/>
            </w:pPr>
            <w:r>
              <w:t>19,8</w:t>
            </w:r>
          </w:p>
        </w:tc>
        <w:tc>
          <w:tcPr>
            <w:tcW w:w="845" w:type="dxa"/>
            <w:vAlign w:val="center"/>
          </w:tcPr>
          <w:p w14:paraId="5D162E99" w14:textId="46F629B8" w:rsidR="001C1B6C" w:rsidRPr="001C1B6C" w:rsidRDefault="00863E47" w:rsidP="001C1B6C">
            <w:pPr>
              <w:pStyle w:val="Tabelid"/>
              <w:jc w:val="right"/>
              <w:cnfStyle w:val="000000000000" w:firstRow="0" w:lastRow="0" w:firstColumn="0" w:lastColumn="0" w:oddVBand="0" w:evenVBand="0" w:oddHBand="0" w:evenHBand="0" w:firstRowFirstColumn="0" w:firstRowLastColumn="0" w:lastRowFirstColumn="0" w:lastRowLastColumn="0"/>
            </w:pPr>
            <w:r>
              <w:t>19,5</w:t>
            </w:r>
          </w:p>
        </w:tc>
        <w:tc>
          <w:tcPr>
            <w:tcW w:w="845" w:type="dxa"/>
            <w:vAlign w:val="center"/>
          </w:tcPr>
          <w:p w14:paraId="3706994C" w14:textId="05AE1E20" w:rsidR="001C1B6C" w:rsidRPr="001C1B6C" w:rsidRDefault="001C1B6C" w:rsidP="001C1B6C">
            <w:pPr>
              <w:pStyle w:val="Tabelid"/>
              <w:jc w:val="right"/>
              <w:cnfStyle w:val="000000000000" w:firstRow="0" w:lastRow="0" w:firstColumn="0" w:lastColumn="0" w:oddVBand="0" w:evenVBand="0" w:oddHBand="0" w:evenHBand="0" w:firstRowFirstColumn="0" w:firstRowLastColumn="0" w:lastRowFirstColumn="0" w:lastRowLastColumn="0"/>
            </w:pPr>
            <w:r w:rsidRPr="001C1B6C">
              <w:t>19,</w:t>
            </w:r>
            <w:r w:rsidR="00863E47">
              <w:t>0</w:t>
            </w:r>
          </w:p>
        </w:tc>
        <w:tc>
          <w:tcPr>
            <w:tcW w:w="845" w:type="dxa"/>
            <w:vAlign w:val="center"/>
          </w:tcPr>
          <w:p w14:paraId="1333B9CD" w14:textId="08669EBC" w:rsidR="001C1B6C" w:rsidRPr="001C1B6C" w:rsidRDefault="00863E47" w:rsidP="001C1B6C">
            <w:pPr>
              <w:pStyle w:val="Tabelid"/>
              <w:jc w:val="right"/>
              <w:cnfStyle w:val="000000000000" w:firstRow="0" w:lastRow="0" w:firstColumn="0" w:lastColumn="0" w:oddVBand="0" w:evenVBand="0" w:oddHBand="0" w:evenHBand="0" w:firstRowFirstColumn="0" w:firstRowLastColumn="0" w:lastRowFirstColumn="0" w:lastRowLastColumn="0"/>
            </w:pPr>
            <w:r>
              <w:t>18,6</w:t>
            </w:r>
          </w:p>
        </w:tc>
        <w:tc>
          <w:tcPr>
            <w:tcW w:w="848" w:type="dxa"/>
            <w:noWrap/>
            <w:vAlign w:val="center"/>
          </w:tcPr>
          <w:p w14:paraId="426BA1FF" w14:textId="2DF31A7E" w:rsidR="001C1B6C" w:rsidRPr="001C1B6C" w:rsidRDefault="00863E47" w:rsidP="001C1B6C">
            <w:pPr>
              <w:pStyle w:val="Tabelid"/>
              <w:jc w:val="right"/>
              <w:cnfStyle w:val="000000000000" w:firstRow="0" w:lastRow="0" w:firstColumn="0" w:lastColumn="0" w:oddVBand="0" w:evenVBand="0" w:oddHBand="0" w:evenHBand="0" w:firstRowFirstColumn="0" w:firstRowLastColumn="0" w:lastRowFirstColumn="0" w:lastRowLastColumn="0"/>
            </w:pPr>
            <w:r>
              <w:t>18,1</w:t>
            </w:r>
          </w:p>
        </w:tc>
      </w:tr>
    </w:tbl>
    <w:p w14:paraId="4E501D23" w14:textId="77777777" w:rsidR="00831AD9" w:rsidRPr="005822EA" w:rsidRDefault="00831AD9" w:rsidP="00831AD9">
      <w:pPr>
        <w:pStyle w:val="Mrkus"/>
        <w:jc w:val="both"/>
      </w:pPr>
      <w:r w:rsidRPr="0025424F">
        <w:t>Allikad: Eesti Statistikaamet, Rahandusministeerium.</w:t>
      </w:r>
    </w:p>
    <w:p w14:paraId="727A9B2F" w14:textId="77777777" w:rsidR="00831AD9" w:rsidRPr="005822EA" w:rsidRDefault="00831AD9" w:rsidP="00831AD9">
      <w:pPr>
        <w:jc w:val="both"/>
        <w:rPr>
          <w:highlight w:val="yellow"/>
        </w:rPr>
      </w:pPr>
      <w:r w:rsidRPr="005822EA">
        <w:rPr>
          <w:highlight w:val="yellow"/>
        </w:rPr>
        <w:br w:type="page"/>
      </w:r>
    </w:p>
    <w:p w14:paraId="64A04140" w14:textId="280966ED" w:rsidR="00831AD9" w:rsidRPr="00291948" w:rsidRDefault="00831AD9" w:rsidP="00E54FF2">
      <w:pPr>
        <w:pStyle w:val="Pealdis"/>
      </w:pPr>
      <w:bookmarkStart w:id="187" w:name="_Ref68188476"/>
      <w:bookmarkStart w:id="188" w:name="_Toc4502673"/>
      <w:bookmarkStart w:id="189" w:name="_Toc100230296"/>
      <w:r w:rsidRPr="00291948">
        <w:lastRenderedPageBreak/>
        <w:t xml:space="preserve">Tabel </w:t>
      </w:r>
      <w:fldSimple w:instr=" SEQ Tabel \* ARABIC ">
        <w:r w:rsidR="000C04EE">
          <w:rPr>
            <w:noProof/>
          </w:rPr>
          <w:t>11</w:t>
        </w:r>
      </w:fldSimple>
      <w:bookmarkEnd w:id="187"/>
      <w:r w:rsidRPr="00291948">
        <w:t>. Valitsussektori kulud valitsemisfunktsioonide (COFOG) lõikes (% SKPst)</w:t>
      </w:r>
      <w:bookmarkEnd w:id="188"/>
      <w:bookmarkEnd w:id="189"/>
    </w:p>
    <w:tbl>
      <w:tblPr>
        <w:tblStyle w:val="Peentabel1"/>
        <w:tblW w:w="5000" w:type="pct"/>
        <w:tblLayout w:type="fixed"/>
        <w:tblLook w:val="04A0" w:firstRow="1" w:lastRow="0" w:firstColumn="1" w:lastColumn="0" w:noHBand="0" w:noVBand="1"/>
      </w:tblPr>
      <w:tblGrid>
        <w:gridCol w:w="3138"/>
        <w:gridCol w:w="947"/>
        <w:gridCol w:w="737"/>
        <w:gridCol w:w="738"/>
        <w:gridCol w:w="736"/>
        <w:gridCol w:w="738"/>
        <w:gridCol w:w="736"/>
        <w:gridCol w:w="738"/>
        <w:gridCol w:w="736"/>
        <w:gridCol w:w="734"/>
      </w:tblGrid>
      <w:tr w:rsidR="00291948" w:rsidRPr="00291948" w14:paraId="0732F002" w14:textId="74EEFA04" w:rsidTr="00360303">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72" w:type="pct"/>
          </w:tcPr>
          <w:p w14:paraId="72F412BB" w14:textId="77777777" w:rsidR="00291948" w:rsidRPr="00291948" w:rsidRDefault="00291948" w:rsidP="00D146B7">
            <w:pPr>
              <w:pStyle w:val="Tabelid"/>
              <w:rPr>
                <w:b w:val="0"/>
              </w:rPr>
            </w:pPr>
          </w:p>
        </w:tc>
        <w:tc>
          <w:tcPr>
            <w:tcW w:w="474" w:type="pct"/>
          </w:tcPr>
          <w:p w14:paraId="187F9203" w14:textId="77777777" w:rsidR="00291948" w:rsidRPr="00291948" w:rsidRDefault="00291948" w:rsidP="00D146B7">
            <w:pPr>
              <w:pStyle w:val="Tabelid"/>
              <w:cnfStyle w:val="100000000000" w:firstRow="1" w:lastRow="0" w:firstColumn="0" w:lastColumn="0" w:oddVBand="0" w:evenVBand="0" w:oddHBand="0" w:evenHBand="0" w:firstRowFirstColumn="0" w:firstRowLastColumn="0" w:lastRowFirstColumn="0" w:lastRowLastColumn="0"/>
              <w:rPr>
                <w:b w:val="0"/>
              </w:rPr>
            </w:pPr>
          </w:p>
        </w:tc>
        <w:tc>
          <w:tcPr>
            <w:tcW w:w="369" w:type="pct"/>
          </w:tcPr>
          <w:p w14:paraId="71113D27" w14:textId="37C576A3" w:rsidR="00291948" w:rsidRPr="00291948" w:rsidRDefault="00291948" w:rsidP="00360303">
            <w:pPr>
              <w:pStyle w:val="Tabelitekst"/>
              <w:jc w:val="right"/>
              <w:cnfStyle w:val="100000000000" w:firstRow="1" w:lastRow="0" w:firstColumn="0" w:lastColumn="0" w:oddVBand="0" w:evenVBand="0" w:oddHBand="0" w:evenHBand="0" w:firstRowFirstColumn="0" w:firstRowLastColumn="0" w:lastRowFirstColumn="0" w:lastRowLastColumn="0"/>
            </w:pPr>
            <w:r w:rsidRPr="00291948">
              <w:t>201</w:t>
            </w:r>
            <w:r w:rsidR="004C5163">
              <w:t>9</w:t>
            </w:r>
          </w:p>
        </w:tc>
        <w:tc>
          <w:tcPr>
            <w:tcW w:w="370" w:type="pct"/>
          </w:tcPr>
          <w:p w14:paraId="3D63E69F" w14:textId="56F5271D" w:rsidR="00291948" w:rsidRPr="00291948" w:rsidRDefault="00291948" w:rsidP="00360303">
            <w:pPr>
              <w:pStyle w:val="Tabelitekst"/>
              <w:jc w:val="right"/>
              <w:cnfStyle w:val="100000000000" w:firstRow="1" w:lastRow="0" w:firstColumn="0" w:lastColumn="0" w:oddVBand="0" w:evenVBand="0" w:oddHBand="0" w:evenHBand="0" w:firstRowFirstColumn="0" w:firstRowLastColumn="0" w:lastRowFirstColumn="0" w:lastRowLastColumn="0"/>
            </w:pPr>
            <w:r w:rsidRPr="00291948">
              <w:t>2020</w:t>
            </w:r>
          </w:p>
        </w:tc>
        <w:tc>
          <w:tcPr>
            <w:tcW w:w="369" w:type="pct"/>
          </w:tcPr>
          <w:p w14:paraId="3C933981" w14:textId="5ABF610A" w:rsidR="00291948" w:rsidRPr="00291948" w:rsidRDefault="00291948" w:rsidP="00360303">
            <w:pPr>
              <w:pStyle w:val="Tabelitekst"/>
              <w:jc w:val="right"/>
              <w:cnfStyle w:val="100000000000" w:firstRow="1" w:lastRow="0" w:firstColumn="0" w:lastColumn="0" w:oddVBand="0" w:evenVBand="0" w:oddHBand="0" w:evenHBand="0" w:firstRowFirstColumn="0" w:firstRowLastColumn="0" w:lastRowFirstColumn="0" w:lastRowLastColumn="0"/>
            </w:pPr>
            <w:r w:rsidRPr="00291948">
              <w:t>2021</w:t>
            </w:r>
          </w:p>
        </w:tc>
        <w:tc>
          <w:tcPr>
            <w:tcW w:w="370" w:type="pct"/>
          </w:tcPr>
          <w:p w14:paraId="7711D83C" w14:textId="79C798FF" w:rsidR="00291948" w:rsidRPr="00291948" w:rsidRDefault="00291948" w:rsidP="00360303">
            <w:pPr>
              <w:pStyle w:val="Tabelitekst"/>
              <w:jc w:val="right"/>
              <w:cnfStyle w:val="100000000000" w:firstRow="1" w:lastRow="0" w:firstColumn="0" w:lastColumn="0" w:oddVBand="0" w:evenVBand="0" w:oddHBand="0" w:evenHBand="0" w:firstRowFirstColumn="0" w:firstRowLastColumn="0" w:lastRowFirstColumn="0" w:lastRowLastColumn="0"/>
            </w:pPr>
            <w:r w:rsidRPr="00291948">
              <w:t>2022</w:t>
            </w:r>
          </w:p>
        </w:tc>
        <w:tc>
          <w:tcPr>
            <w:tcW w:w="369" w:type="pct"/>
          </w:tcPr>
          <w:p w14:paraId="2152127B" w14:textId="7945732F" w:rsidR="00291948" w:rsidRPr="00291948" w:rsidRDefault="00291948" w:rsidP="00360303">
            <w:pPr>
              <w:pStyle w:val="Tabelitekst"/>
              <w:jc w:val="right"/>
              <w:cnfStyle w:val="100000000000" w:firstRow="1" w:lastRow="0" w:firstColumn="0" w:lastColumn="0" w:oddVBand="0" w:evenVBand="0" w:oddHBand="0" w:evenHBand="0" w:firstRowFirstColumn="0" w:firstRowLastColumn="0" w:lastRowFirstColumn="0" w:lastRowLastColumn="0"/>
            </w:pPr>
            <w:r w:rsidRPr="00291948">
              <w:t>2023</w:t>
            </w:r>
          </w:p>
        </w:tc>
        <w:tc>
          <w:tcPr>
            <w:tcW w:w="370" w:type="pct"/>
          </w:tcPr>
          <w:p w14:paraId="02A175DA" w14:textId="318D2C4A" w:rsidR="00291948" w:rsidRPr="00291948" w:rsidRDefault="00291948" w:rsidP="00360303">
            <w:pPr>
              <w:pStyle w:val="Tabelitekst"/>
              <w:jc w:val="right"/>
              <w:cnfStyle w:val="100000000000" w:firstRow="1" w:lastRow="0" w:firstColumn="0" w:lastColumn="0" w:oddVBand="0" w:evenVBand="0" w:oddHBand="0" w:evenHBand="0" w:firstRowFirstColumn="0" w:firstRowLastColumn="0" w:lastRowFirstColumn="0" w:lastRowLastColumn="0"/>
            </w:pPr>
            <w:r w:rsidRPr="00291948">
              <w:t>2024</w:t>
            </w:r>
          </w:p>
        </w:tc>
        <w:tc>
          <w:tcPr>
            <w:tcW w:w="369" w:type="pct"/>
          </w:tcPr>
          <w:p w14:paraId="5944099C" w14:textId="3A2C594F" w:rsidR="00291948" w:rsidRPr="00291948" w:rsidRDefault="00291948" w:rsidP="00360303">
            <w:pPr>
              <w:pStyle w:val="Tabelitekst"/>
              <w:jc w:val="right"/>
              <w:cnfStyle w:val="100000000000" w:firstRow="1" w:lastRow="0" w:firstColumn="0" w:lastColumn="0" w:oddVBand="0" w:evenVBand="0" w:oddHBand="0" w:evenHBand="0" w:firstRowFirstColumn="0" w:firstRowLastColumn="0" w:lastRowFirstColumn="0" w:lastRowLastColumn="0"/>
            </w:pPr>
            <w:r w:rsidRPr="00291948">
              <w:t>2025</w:t>
            </w:r>
          </w:p>
        </w:tc>
        <w:tc>
          <w:tcPr>
            <w:tcW w:w="369" w:type="pct"/>
          </w:tcPr>
          <w:p w14:paraId="0EFA5FD2" w14:textId="2686AA92" w:rsidR="00291948" w:rsidRPr="00291948" w:rsidRDefault="00291948" w:rsidP="00360303">
            <w:pPr>
              <w:pStyle w:val="Tabelitekst"/>
              <w:jc w:val="right"/>
              <w:cnfStyle w:val="100000000000" w:firstRow="1" w:lastRow="0" w:firstColumn="0" w:lastColumn="0" w:oddVBand="0" w:evenVBand="0" w:oddHBand="0" w:evenHBand="0" w:firstRowFirstColumn="0" w:firstRowLastColumn="0" w:lastRowFirstColumn="0" w:lastRowLastColumn="0"/>
            </w:pPr>
            <w:r w:rsidRPr="00291948">
              <w:t>2026</w:t>
            </w:r>
          </w:p>
        </w:tc>
      </w:tr>
      <w:tr w:rsidR="00360303" w:rsidRPr="00291948" w14:paraId="0703BDD6" w14:textId="363AB236" w:rsidTr="0036030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72" w:type="pct"/>
          </w:tcPr>
          <w:p w14:paraId="482E3EF7" w14:textId="14405349" w:rsidR="00360303" w:rsidRPr="00291948" w:rsidRDefault="00360303" w:rsidP="00360303">
            <w:pPr>
              <w:pStyle w:val="Tabelid"/>
              <w:keepNext/>
              <w:rPr>
                <w:iCs/>
              </w:rPr>
            </w:pPr>
            <w:r w:rsidRPr="00291948">
              <w:rPr>
                <w:iCs/>
              </w:rPr>
              <w:t>1. Üldised valitsussektori teenused</w:t>
            </w:r>
          </w:p>
        </w:tc>
        <w:tc>
          <w:tcPr>
            <w:tcW w:w="474" w:type="pct"/>
          </w:tcPr>
          <w:p w14:paraId="31326A15" w14:textId="47027BF4" w:rsidR="00360303" w:rsidRPr="00291948" w:rsidRDefault="00360303" w:rsidP="00360303">
            <w:pPr>
              <w:pStyle w:val="Tabelid"/>
              <w:keepNext/>
              <w:cnfStyle w:val="000000100000" w:firstRow="0" w:lastRow="0" w:firstColumn="0" w:lastColumn="0" w:oddVBand="0" w:evenVBand="0" w:oddHBand="1" w:evenHBand="0" w:firstRowFirstColumn="0" w:firstRowLastColumn="0" w:lastRowFirstColumn="0" w:lastRowLastColumn="0"/>
              <w:rPr>
                <w:iCs/>
              </w:rPr>
            </w:pPr>
            <w:r w:rsidRPr="00291948">
              <w:rPr>
                <w:iCs/>
              </w:rPr>
              <w:t>1</w:t>
            </w:r>
          </w:p>
        </w:tc>
        <w:tc>
          <w:tcPr>
            <w:tcW w:w="369" w:type="pct"/>
            <w:vAlign w:val="center"/>
          </w:tcPr>
          <w:p w14:paraId="761C6272" w14:textId="2B5D0877"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3,9</w:t>
            </w:r>
          </w:p>
        </w:tc>
        <w:tc>
          <w:tcPr>
            <w:tcW w:w="370" w:type="pct"/>
            <w:vAlign w:val="center"/>
          </w:tcPr>
          <w:p w14:paraId="39F99FCF" w14:textId="322E8CBC"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4,0</w:t>
            </w:r>
          </w:p>
        </w:tc>
        <w:tc>
          <w:tcPr>
            <w:tcW w:w="369" w:type="pct"/>
            <w:vAlign w:val="center"/>
          </w:tcPr>
          <w:p w14:paraId="38748D5C" w14:textId="469FF794"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4,0</w:t>
            </w:r>
          </w:p>
        </w:tc>
        <w:tc>
          <w:tcPr>
            <w:tcW w:w="370" w:type="pct"/>
            <w:vAlign w:val="center"/>
          </w:tcPr>
          <w:p w14:paraId="6A5FCEFF" w14:textId="7F8B0999"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4,0</w:t>
            </w:r>
          </w:p>
        </w:tc>
        <w:tc>
          <w:tcPr>
            <w:tcW w:w="369" w:type="pct"/>
            <w:vAlign w:val="center"/>
          </w:tcPr>
          <w:p w14:paraId="436A8F98" w14:textId="4D2F71F4"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4,0</w:t>
            </w:r>
          </w:p>
        </w:tc>
        <w:tc>
          <w:tcPr>
            <w:tcW w:w="370" w:type="pct"/>
            <w:vAlign w:val="center"/>
          </w:tcPr>
          <w:p w14:paraId="7894FEE6" w14:textId="414A9D8E"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4,0</w:t>
            </w:r>
          </w:p>
        </w:tc>
        <w:tc>
          <w:tcPr>
            <w:tcW w:w="369" w:type="pct"/>
            <w:vAlign w:val="center"/>
          </w:tcPr>
          <w:p w14:paraId="622BDCC8" w14:textId="02D6558F"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3,7</w:t>
            </w:r>
          </w:p>
        </w:tc>
        <w:tc>
          <w:tcPr>
            <w:tcW w:w="369" w:type="pct"/>
            <w:vAlign w:val="center"/>
          </w:tcPr>
          <w:p w14:paraId="04D3A0EE" w14:textId="6A8F7477" w:rsidR="00360303" w:rsidRPr="00291948"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3,6</w:t>
            </w:r>
          </w:p>
        </w:tc>
      </w:tr>
      <w:tr w:rsidR="00360303" w:rsidRPr="00291948" w14:paraId="0E4FB13C" w14:textId="45D17FBC" w:rsidTr="00360303">
        <w:trPr>
          <w:trHeight w:val="57"/>
        </w:trPr>
        <w:tc>
          <w:tcPr>
            <w:cnfStyle w:val="001000000000" w:firstRow="0" w:lastRow="0" w:firstColumn="1" w:lastColumn="0" w:oddVBand="0" w:evenVBand="0" w:oddHBand="0" w:evenHBand="0" w:firstRowFirstColumn="0" w:firstRowLastColumn="0" w:lastRowFirstColumn="0" w:lastRowLastColumn="0"/>
            <w:tcW w:w="1572" w:type="pct"/>
          </w:tcPr>
          <w:p w14:paraId="35966D05" w14:textId="487C2B4D" w:rsidR="00360303" w:rsidRPr="00291948" w:rsidRDefault="00360303" w:rsidP="00360303">
            <w:pPr>
              <w:pStyle w:val="Tabelid"/>
              <w:keepNext/>
            </w:pPr>
            <w:r w:rsidRPr="00291948">
              <w:t>2. Riigikaitse</w:t>
            </w:r>
          </w:p>
        </w:tc>
        <w:tc>
          <w:tcPr>
            <w:tcW w:w="474" w:type="pct"/>
          </w:tcPr>
          <w:p w14:paraId="66E12E15" w14:textId="3A4D4A60" w:rsidR="00360303" w:rsidRPr="00291948" w:rsidRDefault="00360303" w:rsidP="00360303">
            <w:pPr>
              <w:pStyle w:val="Tabelid"/>
              <w:keepNext/>
              <w:cnfStyle w:val="000000000000" w:firstRow="0" w:lastRow="0" w:firstColumn="0" w:lastColumn="0" w:oddVBand="0" w:evenVBand="0" w:oddHBand="0" w:evenHBand="0" w:firstRowFirstColumn="0" w:firstRowLastColumn="0" w:lastRowFirstColumn="0" w:lastRowLastColumn="0"/>
            </w:pPr>
            <w:r w:rsidRPr="00291948">
              <w:t>2</w:t>
            </w:r>
          </w:p>
        </w:tc>
        <w:tc>
          <w:tcPr>
            <w:tcW w:w="369" w:type="pct"/>
            <w:vAlign w:val="center"/>
          </w:tcPr>
          <w:p w14:paraId="67B1D097" w14:textId="27EFEC1A"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2,1</w:t>
            </w:r>
          </w:p>
        </w:tc>
        <w:tc>
          <w:tcPr>
            <w:tcW w:w="370" w:type="pct"/>
            <w:vAlign w:val="center"/>
          </w:tcPr>
          <w:p w14:paraId="2B9C1F74" w14:textId="7AA54DE6"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2,5</w:t>
            </w:r>
          </w:p>
        </w:tc>
        <w:tc>
          <w:tcPr>
            <w:tcW w:w="369" w:type="pct"/>
            <w:vAlign w:val="center"/>
          </w:tcPr>
          <w:p w14:paraId="1F6F5C84" w14:textId="4EC31F16"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2,4</w:t>
            </w:r>
          </w:p>
        </w:tc>
        <w:tc>
          <w:tcPr>
            <w:tcW w:w="370" w:type="pct"/>
            <w:vAlign w:val="center"/>
          </w:tcPr>
          <w:p w14:paraId="0E3CF059" w14:textId="5CBB183F"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2,0</w:t>
            </w:r>
          </w:p>
        </w:tc>
        <w:tc>
          <w:tcPr>
            <w:tcW w:w="369" w:type="pct"/>
            <w:vAlign w:val="center"/>
          </w:tcPr>
          <w:p w14:paraId="095DD511" w14:textId="1AE3B3D6"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2,6</w:t>
            </w:r>
          </w:p>
        </w:tc>
        <w:tc>
          <w:tcPr>
            <w:tcW w:w="370" w:type="pct"/>
            <w:vAlign w:val="center"/>
          </w:tcPr>
          <w:p w14:paraId="52DD493E" w14:textId="67A74DEE"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2,9</w:t>
            </w:r>
          </w:p>
        </w:tc>
        <w:tc>
          <w:tcPr>
            <w:tcW w:w="369" w:type="pct"/>
            <w:vAlign w:val="center"/>
          </w:tcPr>
          <w:p w14:paraId="7375C91A" w14:textId="0E5E6145"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2,7</w:t>
            </w:r>
          </w:p>
        </w:tc>
        <w:tc>
          <w:tcPr>
            <w:tcW w:w="369" w:type="pct"/>
            <w:vAlign w:val="center"/>
          </w:tcPr>
          <w:p w14:paraId="111E2EC2" w14:textId="32D30FBF" w:rsidR="00360303" w:rsidRPr="00291948"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2,0</w:t>
            </w:r>
          </w:p>
        </w:tc>
      </w:tr>
      <w:tr w:rsidR="00360303" w:rsidRPr="00291948" w14:paraId="477A00AF" w14:textId="4DF48BB0" w:rsidTr="0036030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72" w:type="pct"/>
          </w:tcPr>
          <w:p w14:paraId="224EF8E1" w14:textId="47323C8D" w:rsidR="00360303" w:rsidRPr="00291948" w:rsidRDefault="00360303" w:rsidP="00360303">
            <w:pPr>
              <w:pStyle w:val="Tabelid"/>
              <w:keepNext/>
            </w:pPr>
            <w:r w:rsidRPr="00291948">
              <w:t>3. Avalik kord ja julgeolek</w:t>
            </w:r>
          </w:p>
        </w:tc>
        <w:tc>
          <w:tcPr>
            <w:tcW w:w="474" w:type="pct"/>
          </w:tcPr>
          <w:p w14:paraId="4AAE9E6A" w14:textId="455A8079" w:rsidR="00360303" w:rsidRPr="00291948" w:rsidRDefault="00360303" w:rsidP="00360303">
            <w:pPr>
              <w:pStyle w:val="Tabelid"/>
              <w:keepNext/>
              <w:cnfStyle w:val="000000100000" w:firstRow="0" w:lastRow="0" w:firstColumn="0" w:lastColumn="0" w:oddVBand="0" w:evenVBand="0" w:oddHBand="1" w:evenHBand="0" w:firstRowFirstColumn="0" w:firstRowLastColumn="0" w:lastRowFirstColumn="0" w:lastRowLastColumn="0"/>
            </w:pPr>
            <w:r w:rsidRPr="00291948">
              <w:t>3</w:t>
            </w:r>
          </w:p>
        </w:tc>
        <w:tc>
          <w:tcPr>
            <w:tcW w:w="369" w:type="pct"/>
            <w:vAlign w:val="center"/>
          </w:tcPr>
          <w:p w14:paraId="280017B5" w14:textId="0AC9AB8D"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1,9</w:t>
            </w:r>
          </w:p>
        </w:tc>
        <w:tc>
          <w:tcPr>
            <w:tcW w:w="370" w:type="pct"/>
            <w:vAlign w:val="center"/>
          </w:tcPr>
          <w:p w14:paraId="269A545F" w14:textId="6A5524A8"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2,0</w:t>
            </w:r>
          </w:p>
        </w:tc>
        <w:tc>
          <w:tcPr>
            <w:tcW w:w="369" w:type="pct"/>
            <w:vAlign w:val="center"/>
          </w:tcPr>
          <w:p w14:paraId="09A37D48" w14:textId="55773ED5"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2,0</w:t>
            </w:r>
          </w:p>
        </w:tc>
        <w:tc>
          <w:tcPr>
            <w:tcW w:w="370" w:type="pct"/>
            <w:vAlign w:val="center"/>
          </w:tcPr>
          <w:p w14:paraId="6009F28B" w14:textId="0660E4FC"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2,0</w:t>
            </w:r>
          </w:p>
        </w:tc>
        <w:tc>
          <w:tcPr>
            <w:tcW w:w="369" w:type="pct"/>
            <w:vAlign w:val="center"/>
          </w:tcPr>
          <w:p w14:paraId="41F675CF" w14:textId="1E8B4CD7"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2,0</w:t>
            </w:r>
          </w:p>
        </w:tc>
        <w:tc>
          <w:tcPr>
            <w:tcW w:w="370" w:type="pct"/>
            <w:vAlign w:val="center"/>
          </w:tcPr>
          <w:p w14:paraId="78AAB1F5" w14:textId="2D412040"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2,1</w:t>
            </w:r>
          </w:p>
        </w:tc>
        <w:tc>
          <w:tcPr>
            <w:tcW w:w="369" w:type="pct"/>
            <w:vAlign w:val="center"/>
          </w:tcPr>
          <w:p w14:paraId="038EB1DB" w14:textId="3F5E6377"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2,0</w:t>
            </w:r>
          </w:p>
        </w:tc>
        <w:tc>
          <w:tcPr>
            <w:tcW w:w="369" w:type="pct"/>
            <w:vAlign w:val="center"/>
          </w:tcPr>
          <w:p w14:paraId="399FB628" w14:textId="4FB559F8" w:rsidR="00360303" w:rsidRPr="00291948"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2,0</w:t>
            </w:r>
          </w:p>
        </w:tc>
      </w:tr>
      <w:tr w:rsidR="00360303" w:rsidRPr="00291948" w14:paraId="4453C8A1" w14:textId="3F1BE07E" w:rsidTr="00360303">
        <w:trPr>
          <w:trHeight w:val="57"/>
        </w:trPr>
        <w:tc>
          <w:tcPr>
            <w:cnfStyle w:val="001000000000" w:firstRow="0" w:lastRow="0" w:firstColumn="1" w:lastColumn="0" w:oddVBand="0" w:evenVBand="0" w:oddHBand="0" w:evenHBand="0" w:firstRowFirstColumn="0" w:firstRowLastColumn="0" w:lastRowFirstColumn="0" w:lastRowLastColumn="0"/>
            <w:tcW w:w="1572" w:type="pct"/>
          </w:tcPr>
          <w:p w14:paraId="2E791D01" w14:textId="2D340E62" w:rsidR="00360303" w:rsidRPr="00291948" w:rsidRDefault="00360303" w:rsidP="00360303">
            <w:pPr>
              <w:pStyle w:val="Tabelid"/>
              <w:keepNext/>
            </w:pPr>
            <w:r w:rsidRPr="00291948">
              <w:t>4. Majandus</w:t>
            </w:r>
          </w:p>
        </w:tc>
        <w:tc>
          <w:tcPr>
            <w:tcW w:w="474" w:type="pct"/>
          </w:tcPr>
          <w:p w14:paraId="775A8A9F" w14:textId="677311B0" w:rsidR="00360303" w:rsidRPr="00291948" w:rsidRDefault="00360303" w:rsidP="00360303">
            <w:pPr>
              <w:pStyle w:val="Tabelid"/>
              <w:keepNext/>
              <w:cnfStyle w:val="000000000000" w:firstRow="0" w:lastRow="0" w:firstColumn="0" w:lastColumn="0" w:oddVBand="0" w:evenVBand="0" w:oddHBand="0" w:evenHBand="0" w:firstRowFirstColumn="0" w:firstRowLastColumn="0" w:lastRowFirstColumn="0" w:lastRowLastColumn="0"/>
            </w:pPr>
            <w:r w:rsidRPr="00291948">
              <w:t>4</w:t>
            </w:r>
          </w:p>
        </w:tc>
        <w:tc>
          <w:tcPr>
            <w:tcW w:w="369" w:type="pct"/>
            <w:vAlign w:val="center"/>
          </w:tcPr>
          <w:p w14:paraId="6784FF1A" w14:textId="4A63BDC9"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4,0</w:t>
            </w:r>
          </w:p>
        </w:tc>
        <w:tc>
          <w:tcPr>
            <w:tcW w:w="370" w:type="pct"/>
            <w:vAlign w:val="center"/>
          </w:tcPr>
          <w:p w14:paraId="743B86B2" w14:textId="69413D48"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5,9</w:t>
            </w:r>
          </w:p>
        </w:tc>
        <w:tc>
          <w:tcPr>
            <w:tcW w:w="369" w:type="pct"/>
            <w:vAlign w:val="center"/>
          </w:tcPr>
          <w:p w14:paraId="2AAB5D57" w14:textId="47B8933D"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4,8</w:t>
            </w:r>
          </w:p>
        </w:tc>
        <w:tc>
          <w:tcPr>
            <w:tcW w:w="370" w:type="pct"/>
            <w:vAlign w:val="center"/>
          </w:tcPr>
          <w:p w14:paraId="0B28A40E" w14:textId="7616CF58"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6,1</w:t>
            </w:r>
          </w:p>
        </w:tc>
        <w:tc>
          <w:tcPr>
            <w:tcW w:w="369" w:type="pct"/>
            <w:vAlign w:val="center"/>
          </w:tcPr>
          <w:p w14:paraId="08C15CE0" w14:textId="53A980CE"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6,1</w:t>
            </w:r>
          </w:p>
        </w:tc>
        <w:tc>
          <w:tcPr>
            <w:tcW w:w="370" w:type="pct"/>
            <w:vAlign w:val="center"/>
          </w:tcPr>
          <w:p w14:paraId="312A7192" w14:textId="49D74310"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5,2</w:t>
            </w:r>
          </w:p>
        </w:tc>
        <w:tc>
          <w:tcPr>
            <w:tcW w:w="369" w:type="pct"/>
            <w:vAlign w:val="center"/>
          </w:tcPr>
          <w:p w14:paraId="6DE92200" w14:textId="18DD1B50"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4,3</w:t>
            </w:r>
          </w:p>
        </w:tc>
        <w:tc>
          <w:tcPr>
            <w:tcW w:w="369" w:type="pct"/>
            <w:vAlign w:val="center"/>
          </w:tcPr>
          <w:p w14:paraId="2B8011F3" w14:textId="07D91F3E" w:rsidR="00360303" w:rsidRPr="00291948"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4,2</w:t>
            </w:r>
          </w:p>
        </w:tc>
      </w:tr>
      <w:tr w:rsidR="00360303" w:rsidRPr="00291948" w14:paraId="473E2AC7" w14:textId="6B3D5863" w:rsidTr="0036030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72" w:type="pct"/>
          </w:tcPr>
          <w:p w14:paraId="5D44931E" w14:textId="2C0C9880" w:rsidR="00360303" w:rsidRPr="00291948" w:rsidRDefault="00360303" w:rsidP="00360303">
            <w:pPr>
              <w:pStyle w:val="Tabelid"/>
              <w:keepNext/>
            </w:pPr>
            <w:r w:rsidRPr="00291948">
              <w:t>5. Keskkonnakaitse</w:t>
            </w:r>
          </w:p>
        </w:tc>
        <w:tc>
          <w:tcPr>
            <w:tcW w:w="474" w:type="pct"/>
          </w:tcPr>
          <w:p w14:paraId="2ACCBC71" w14:textId="7FDD28B9" w:rsidR="00360303" w:rsidRPr="00291948" w:rsidRDefault="00360303" w:rsidP="00360303">
            <w:pPr>
              <w:pStyle w:val="Tabelid"/>
              <w:keepNext/>
              <w:cnfStyle w:val="000000100000" w:firstRow="0" w:lastRow="0" w:firstColumn="0" w:lastColumn="0" w:oddVBand="0" w:evenVBand="0" w:oddHBand="1" w:evenHBand="0" w:firstRowFirstColumn="0" w:firstRowLastColumn="0" w:lastRowFirstColumn="0" w:lastRowLastColumn="0"/>
            </w:pPr>
            <w:r w:rsidRPr="00291948">
              <w:t>5</w:t>
            </w:r>
          </w:p>
        </w:tc>
        <w:tc>
          <w:tcPr>
            <w:tcW w:w="369" w:type="pct"/>
            <w:vAlign w:val="center"/>
          </w:tcPr>
          <w:p w14:paraId="0B660D07" w14:textId="4EAF90ED"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0,8</w:t>
            </w:r>
          </w:p>
        </w:tc>
        <w:tc>
          <w:tcPr>
            <w:tcW w:w="370" w:type="pct"/>
            <w:vAlign w:val="center"/>
          </w:tcPr>
          <w:p w14:paraId="650E6E14" w14:textId="00568F3E"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0,7</w:t>
            </w:r>
          </w:p>
        </w:tc>
        <w:tc>
          <w:tcPr>
            <w:tcW w:w="369" w:type="pct"/>
            <w:vAlign w:val="center"/>
          </w:tcPr>
          <w:p w14:paraId="75A1D95E" w14:textId="0F843E7E"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0,7</w:t>
            </w:r>
          </w:p>
        </w:tc>
        <w:tc>
          <w:tcPr>
            <w:tcW w:w="370" w:type="pct"/>
            <w:vAlign w:val="center"/>
          </w:tcPr>
          <w:p w14:paraId="5D1CDEC3" w14:textId="37110DEC"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0,7</w:t>
            </w:r>
          </w:p>
        </w:tc>
        <w:tc>
          <w:tcPr>
            <w:tcW w:w="369" w:type="pct"/>
            <w:vAlign w:val="center"/>
          </w:tcPr>
          <w:p w14:paraId="1DE86BD6" w14:textId="290991DF"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0,7</w:t>
            </w:r>
          </w:p>
        </w:tc>
        <w:tc>
          <w:tcPr>
            <w:tcW w:w="370" w:type="pct"/>
            <w:vAlign w:val="center"/>
          </w:tcPr>
          <w:p w14:paraId="379AC32B" w14:textId="4C9378AF"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0,7</w:t>
            </w:r>
          </w:p>
        </w:tc>
        <w:tc>
          <w:tcPr>
            <w:tcW w:w="369" w:type="pct"/>
            <w:vAlign w:val="center"/>
          </w:tcPr>
          <w:p w14:paraId="2404B94C" w14:textId="4BC9DB75"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0,7</w:t>
            </w:r>
          </w:p>
        </w:tc>
        <w:tc>
          <w:tcPr>
            <w:tcW w:w="369" w:type="pct"/>
            <w:vAlign w:val="center"/>
          </w:tcPr>
          <w:p w14:paraId="2B74C840" w14:textId="641257B1" w:rsidR="00360303" w:rsidRPr="00291948"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0,7</w:t>
            </w:r>
          </w:p>
        </w:tc>
      </w:tr>
      <w:tr w:rsidR="00360303" w:rsidRPr="00291948" w14:paraId="05207B91" w14:textId="3A330383" w:rsidTr="00360303">
        <w:trPr>
          <w:trHeight w:val="57"/>
        </w:trPr>
        <w:tc>
          <w:tcPr>
            <w:cnfStyle w:val="001000000000" w:firstRow="0" w:lastRow="0" w:firstColumn="1" w:lastColumn="0" w:oddVBand="0" w:evenVBand="0" w:oddHBand="0" w:evenHBand="0" w:firstRowFirstColumn="0" w:firstRowLastColumn="0" w:lastRowFirstColumn="0" w:lastRowLastColumn="0"/>
            <w:tcW w:w="1572" w:type="pct"/>
          </w:tcPr>
          <w:p w14:paraId="36FBEC2F" w14:textId="7B618A2E" w:rsidR="00360303" w:rsidRPr="00291948" w:rsidRDefault="00360303" w:rsidP="00360303">
            <w:pPr>
              <w:pStyle w:val="Tabelid"/>
              <w:keepNext/>
            </w:pPr>
            <w:r w:rsidRPr="00291948">
              <w:t>6. Elamu- ja kommunaal</w:t>
            </w:r>
            <w:r w:rsidRPr="00291948">
              <w:softHyphen/>
              <w:t>majandus</w:t>
            </w:r>
          </w:p>
        </w:tc>
        <w:tc>
          <w:tcPr>
            <w:tcW w:w="474" w:type="pct"/>
          </w:tcPr>
          <w:p w14:paraId="79A0A362" w14:textId="3EC8B47F" w:rsidR="00360303" w:rsidRPr="00291948" w:rsidRDefault="00360303" w:rsidP="00360303">
            <w:pPr>
              <w:pStyle w:val="Tabelid"/>
              <w:keepNext/>
              <w:cnfStyle w:val="000000000000" w:firstRow="0" w:lastRow="0" w:firstColumn="0" w:lastColumn="0" w:oddVBand="0" w:evenVBand="0" w:oddHBand="0" w:evenHBand="0" w:firstRowFirstColumn="0" w:firstRowLastColumn="0" w:lastRowFirstColumn="0" w:lastRowLastColumn="0"/>
            </w:pPr>
            <w:r w:rsidRPr="00291948">
              <w:t>6</w:t>
            </w:r>
          </w:p>
        </w:tc>
        <w:tc>
          <w:tcPr>
            <w:tcW w:w="369" w:type="pct"/>
            <w:vAlign w:val="center"/>
          </w:tcPr>
          <w:p w14:paraId="22A8DE6A" w14:textId="592CC420"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0,3</w:t>
            </w:r>
          </w:p>
        </w:tc>
        <w:tc>
          <w:tcPr>
            <w:tcW w:w="370" w:type="pct"/>
            <w:vAlign w:val="center"/>
          </w:tcPr>
          <w:p w14:paraId="43694D11" w14:textId="5C35B805"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0,4</w:t>
            </w:r>
          </w:p>
        </w:tc>
        <w:tc>
          <w:tcPr>
            <w:tcW w:w="369" w:type="pct"/>
            <w:vAlign w:val="center"/>
          </w:tcPr>
          <w:p w14:paraId="39BE66BC" w14:textId="4F38D902"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0,4</w:t>
            </w:r>
          </w:p>
        </w:tc>
        <w:tc>
          <w:tcPr>
            <w:tcW w:w="370" w:type="pct"/>
            <w:vAlign w:val="center"/>
          </w:tcPr>
          <w:p w14:paraId="587800CE" w14:textId="74B2835D"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0,4</w:t>
            </w:r>
          </w:p>
        </w:tc>
        <w:tc>
          <w:tcPr>
            <w:tcW w:w="369" w:type="pct"/>
            <w:vAlign w:val="center"/>
          </w:tcPr>
          <w:p w14:paraId="07D5413A" w14:textId="195000F0"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0,4</w:t>
            </w:r>
          </w:p>
        </w:tc>
        <w:tc>
          <w:tcPr>
            <w:tcW w:w="370" w:type="pct"/>
            <w:vAlign w:val="center"/>
          </w:tcPr>
          <w:p w14:paraId="0EC3B5C2" w14:textId="27CB6BCF"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0,4</w:t>
            </w:r>
          </w:p>
        </w:tc>
        <w:tc>
          <w:tcPr>
            <w:tcW w:w="369" w:type="pct"/>
            <w:vAlign w:val="center"/>
          </w:tcPr>
          <w:p w14:paraId="56B79DC9" w14:textId="3964D5A4"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0,4</w:t>
            </w:r>
          </w:p>
        </w:tc>
        <w:tc>
          <w:tcPr>
            <w:tcW w:w="369" w:type="pct"/>
            <w:vAlign w:val="center"/>
          </w:tcPr>
          <w:p w14:paraId="521A7E46" w14:textId="70F6C00F" w:rsidR="00360303" w:rsidRPr="00291948"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0,4</w:t>
            </w:r>
          </w:p>
        </w:tc>
      </w:tr>
      <w:tr w:rsidR="00360303" w:rsidRPr="00291948" w14:paraId="1909129C" w14:textId="5D6B1A6C" w:rsidTr="0036030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72" w:type="pct"/>
          </w:tcPr>
          <w:p w14:paraId="4A3123F8" w14:textId="3D31C4EA" w:rsidR="00360303" w:rsidRPr="00291948" w:rsidRDefault="00360303" w:rsidP="00360303">
            <w:pPr>
              <w:pStyle w:val="Tabelid"/>
              <w:keepNext/>
            </w:pPr>
            <w:r w:rsidRPr="00291948">
              <w:t>7. Tervishoid</w:t>
            </w:r>
          </w:p>
        </w:tc>
        <w:tc>
          <w:tcPr>
            <w:tcW w:w="474" w:type="pct"/>
          </w:tcPr>
          <w:p w14:paraId="5A3DC712" w14:textId="1DFE5DAC" w:rsidR="00360303" w:rsidRPr="00291948" w:rsidRDefault="00360303" w:rsidP="00360303">
            <w:pPr>
              <w:pStyle w:val="Tabelid"/>
              <w:keepNext/>
              <w:cnfStyle w:val="000000100000" w:firstRow="0" w:lastRow="0" w:firstColumn="0" w:lastColumn="0" w:oddVBand="0" w:evenVBand="0" w:oddHBand="1" w:evenHBand="0" w:firstRowFirstColumn="0" w:firstRowLastColumn="0" w:lastRowFirstColumn="0" w:lastRowLastColumn="0"/>
            </w:pPr>
            <w:r w:rsidRPr="00291948">
              <w:t>7</w:t>
            </w:r>
          </w:p>
        </w:tc>
        <w:tc>
          <w:tcPr>
            <w:tcW w:w="369" w:type="pct"/>
            <w:vAlign w:val="center"/>
          </w:tcPr>
          <w:p w14:paraId="0F0ADF8C" w14:textId="4FDA032C"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5,5</w:t>
            </w:r>
          </w:p>
        </w:tc>
        <w:tc>
          <w:tcPr>
            <w:tcW w:w="370" w:type="pct"/>
            <w:vAlign w:val="center"/>
          </w:tcPr>
          <w:p w14:paraId="2F2EC7D1" w14:textId="3AEF4F96"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6,7</w:t>
            </w:r>
          </w:p>
        </w:tc>
        <w:tc>
          <w:tcPr>
            <w:tcW w:w="369" w:type="pct"/>
            <w:vAlign w:val="center"/>
          </w:tcPr>
          <w:p w14:paraId="30B45B1E" w14:textId="1A7F4F77"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6,4</w:t>
            </w:r>
          </w:p>
        </w:tc>
        <w:tc>
          <w:tcPr>
            <w:tcW w:w="370" w:type="pct"/>
            <w:vAlign w:val="center"/>
          </w:tcPr>
          <w:p w14:paraId="12185E99" w14:textId="3D383814"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6,3</w:t>
            </w:r>
          </w:p>
        </w:tc>
        <w:tc>
          <w:tcPr>
            <w:tcW w:w="369" w:type="pct"/>
            <w:vAlign w:val="center"/>
          </w:tcPr>
          <w:p w14:paraId="33603E39" w14:textId="217C8D67"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6,2</w:t>
            </w:r>
          </w:p>
        </w:tc>
        <w:tc>
          <w:tcPr>
            <w:tcW w:w="370" w:type="pct"/>
            <w:vAlign w:val="center"/>
          </w:tcPr>
          <w:p w14:paraId="4BF1DF1C" w14:textId="134BB262"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6,3</w:t>
            </w:r>
          </w:p>
        </w:tc>
        <w:tc>
          <w:tcPr>
            <w:tcW w:w="369" w:type="pct"/>
            <w:vAlign w:val="center"/>
          </w:tcPr>
          <w:p w14:paraId="241FF5EA" w14:textId="5DF4AE43"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6,3</w:t>
            </w:r>
          </w:p>
        </w:tc>
        <w:tc>
          <w:tcPr>
            <w:tcW w:w="369" w:type="pct"/>
            <w:vAlign w:val="center"/>
          </w:tcPr>
          <w:p w14:paraId="70E176A6" w14:textId="13CF2863" w:rsidR="00360303" w:rsidRPr="00291948"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6,2</w:t>
            </w:r>
          </w:p>
        </w:tc>
      </w:tr>
      <w:tr w:rsidR="00360303" w:rsidRPr="00291948" w14:paraId="77DDD39B" w14:textId="1491C135" w:rsidTr="00360303">
        <w:trPr>
          <w:trHeight w:val="57"/>
        </w:trPr>
        <w:tc>
          <w:tcPr>
            <w:cnfStyle w:val="001000000000" w:firstRow="0" w:lastRow="0" w:firstColumn="1" w:lastColumn="0" w:oddVBand="0" w:evenVBand="0" w:oddHBand="0" w:evenHBand="0" w:firstRowFirstColumn="0" w:firstRowLastColumn="0" w:lastRowFirstColumn="0" w:lastRowLastColumn="0"/>
            <w:tcW w:w="1572" w:type="pct"/>
          </w:tcPr>
          <w:p w14:paraId="0C1BB18F" w14:textId="66BD549C" w:rsidR="00360303" w:rsidRPr="00291948" w:rsidRDefault="00360303" w:rsidP="00360303">
            <w:pPr>
              <w:pStyle w:val="Tabelid"/>
              <w:keepNext/>
            </w:pPr>
            <w:r w:rsidRPr="00291948">
              <w:t>8. Vaba aeg, kultuur ja religioon</w:t>
            </w:r>
          </w:p>
        </w:tc>
        <w:tc>
          <w:tcPr>
            <w:tcW w:w="474" w:type="pct"/>
          </w:tcPr>
          <w:p w14:paraId="1D7767FC" w14:textId="7745659A" w:rsidR="00360303" w:rsidRPr="00291948" w:rsidRDefault="00360303" w:rsidP="00360303">
            <w:pPr>
              <w:pStyle w:val="Tabelid"/>
              <w:keepNext/>
              <w:cnfStyle w:val="000000000000" w:firstRow="0" w:lastRow="0" w:firstColumn="0" w:lastColumn="0" w:oddVBand="0" w:evenVBand="0" w:oddHBand="0" w:evenHBand="0" w:firstRowFirstColumn="0" w:firstRowLastColumn="0" w:lastRowFirstColumn="0" w:lastRowLastColumn="0"/>
            </w:pPr>
            <w:r w:rsidRPr="00291948">
              <w:t>8</w:t>
            </w:r>
          </w:p>
        </w:tc>
        <w:tc>
          <w:tcPr>
            <w:tcW w:w="369" w:type="pct"/>
            <w:vAlign w:val="center"/>
          </w:tcPr>
          <w:p w14:paraId="08DCE865" w14:textId="6091AE7F"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2,0</w:t>
            </w:r>
          </w:p>
        </w:tc>
        <w:tc>
          <w:tcPr>
            <w:tcW w:w="370" w:type="pct"/>
            <w:vAlign w:val="center"/>
          </w:tcPr>
          <w:p w14:paraId="1DCC26DC" w14:textId="66A7F997"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2,1</w:t>
            </w:r>
          </w:p>
        </w:tc>
        <w:tc>
          <w:tcPr>
            <w:tcW w:w="369" w:type="pct"/>
            <w:vAlign w:val="center"/>
          </w:tcPr>
          <w:p w14:paraId="3BFB9A4B" w14:textId="1FEC852E"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2,1</w:t>
            </w:r>
          </w:p>
        </w:tc>
        <w:tc>
          <w:tcPr>
            <w:tcW w:w="370" w:type="pct"/>
            <w:vAlign w:val="center"/>
          </w:tcPr>
          <w:p w14:paraId="3E5AF6F4" w14:textId="48C66D23"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2,1</w:t>
            </w:r>
          </w:p>
        </w:tc>
        <w:tc>
          <w:tcPr>
            <w:tcW w:w="369" w:type="pct"/>
            <w:vAlign w:val="center"/>
          </w:tcPr>
          <w:p w14:paraId="461882E4" w14:textId="158F2601"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2,1</w:t>
            </w:r>
          </w:p>
        </w:tc>
        <w:tc>
          <w:tcPr>
            <w:tcW w:w="370" w:type="pct"/>
            <w:vAlign w:val="center"/>
          </w:tcPr>
          <w:p w14:paraId="42C0C1F6" w14:textId="4C3343C7"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2,1</w:t>
            </w:r>
          </w:p>
        </w:tc>
        <w:tc>
          <w:tcPr>
            <w:tcW w:w="369" w:type="pct"/>
            <w:vAlign w:val="center"/>
          </w:tcPr>
          <w:p w14:paraId="534A8F0E" w14:textId="7B662346"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2,1</w:t>
            </w:r>
          </w:p>
        </w:tc>
        <w:tc>
          <w:tcPr>
            <w:tcW w:w="369" w:type="pct"/>
            <w:vAlign w:val="center"/>
          </w:tcPr>
          <w:p w14:paraId="36ADCE52" w14:textId="58E1E9F9" w:rsidR="00360303" w:rsidRPr="00291948"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2,1</w:t>
            </w:r>
          </w:p>
        </w:tc>
      </w:tr>
      <w:tr w:rsidR="00360303" w:rsidRPr="00291948" w14:paraId="604943AE" w14:textId="44D0DEE1" w:rsidTr="0036030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72" w:type="pct"/>
          </w:tcPr>
          <w:p w14:paraId="140BC7F7" w14:textId="4C5912D9" w:rsidR="00360303" w:rsidRPr="00291948" w:rsidRDefault="00360303" w:rsidP="00360303">
            <w:pPr>
              <w:pStyle w:val="Tabelid"/>
              <w:keepNext/>
            </w:pPr>
            <w:r w:rsidRPr="00291948">
              <w:t>9. Haridus</w:t>
            </w:r>
          </w:p>
        </w:tc>
        <w:tc>
          <w:tcPr>
            <w:tcW w:w="474" w:type="pct"/>
          </w:tcPr>
          <w:p w14:paraId="2302FC84" w14:textId="58E2FF40" w:rsidR="00360303" w:rsidRPr="00291948" w:rsidRDefault="00360303" w:rsidP="00360303">
            <w:pPr>
              <w:pStyle w:val="Tabelid"/>
              <w:keepNext/>
              <w:cnfStyle w:val="000000100000" w:firstRow="0" w:lastRow="0" w:firstColumn="0" w:lastColumn="0" w:oddVBand="0" w:evenVBand="0" w:oddHBand="1" w:evenHBand="0" w:firstRowFirstColumn="0" w:firstRowLastColumn="0" w:lastRowFirstColumn="0" w:lastRowLastColumn="0"/>
            </w:pPr>
            <w:r w:rsidRPr="00291948">
              <w:t>9</w:t>
            </w:r>
          </w:p>
        </w:tc>
        <w:tc>
          <w:tcPr>
            <w:tcW w:w="369" w:type="pct"/>
            <w:vAlign w:val="center"/>
          </w:tcPr>
          <w:p w14:paraId="449E06C1" w14:textId="5BFA59DA"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6,2</w:t>
            </w:r>
          </w:p>
        </w:tc>
        <w:tc>
          <w:tcPr>
            <w:tcW w:w="370" w:type="pct"/>
            <w:vAlign w:val="center"/>
          </w:tcPr>
          <w:p w14:paraId="7D75F9CB" w14:textId="310D00C0"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6,6</w:t>
            </w:r>
          </w:p>
        </w:tc>
        <w:tc>
          <w:tcPr>
            <w:tcW w:w="369" w:type="pct"/>
            <w:vAlign w:val="center"/>
          </w:tcPr>
          <w:p w14:paraId="31FCDF3A" w14:textId="4098D1FB"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6,0</w:t>
            </w:r>
          </w:p>
        </w:tc>
        <w:tc>
          <w:tcPr>
            <w:tcW w:w="370" w:type="pct"/>
            <w:vAlign w:val="center"/>
          </w:tcPr>
          <w:p w14:paraId="4D0C7EEC" w14:textId="712864F0"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5,8</w:t>
            </w:r>
          </w:p>
        </w:tc>
        <w:tc>
          <w:tcPr>
            <w:tcW w:w="369" w:type="pct"/>
            <w:vAlign w:val="center"/>
          </w:tcPr>
          <w:p w14:paraId="16E26296" w14:textId="061D1876"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5,5</w:t>
            </w:r>
          </w:p>
        </w:tc>
        <w:tc>
          <w:tcPr>
            <w:tcW w:w="370" w:type="pct"/>
            <w:vAlign w:val="center"/>
          </w:tcPr>
          <w:p w14:paraId="736E0F2E" w14:textId="2514AC9A"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5,4</w:t>
            </w:r>
          </w:p>
        </w:tc>
        <w:tc>
          <w:tcPr>
            <w:tcW w:w="369" w:type="pct"/>
            <w:vAlign w:val="center"/>
          </w:tcPr>
          <w:p w14:paraId="4876D47A" w14:textId="7F02082E"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5,2</w:t>
            </w:r>
          </w:p>
        </w:tc>
        <w:tc>
          <w:tcPr>
            <w:tcW w:w="369" w:type="pct"/>
            <w:vAlign w:val="center"/>
          </w:tcPr>
          <w:p w14:paraId="1C033555" w14:textId="17C487AF" w:rsidR="00360303" w:rsidRPr="00291948"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5,0</w:t>
            </w:r>
          </w:p>
        </w:tc>
      </w:tr>
      <w:tr w:rsidR="00360303" w:rsidRPr="00291948" w14:paraId="6468A577" w14:textId="4221BE51" w:rsidTr="00360303">
        <w:trPr>
          <w:trHeight w:val="57"/>
        </w:trPr>
        <w:tc>
          <w:tcPr>
            <w:cnfStyle w:val="001000000000" w:firstRow="0" w:lastRow="0" w:firstColumn="1" w:lastColumn="0" w:oddVBand="0" w:evenVBand="0" w:oddHBand="0" w:evenHBand="0" w:firstRowFirstColumn="0" w:firstRowLastColumn="0" w:lastRowFirstColumn="0" w:lastRowLastColumn="0"/>
            <w:tcW w:w="1572" w:type="pct"/>
          </w:tcPr>
          <w:p w14:paraId="75B660AB" w14:textId="2A965DCE" w:rsidR="00360303" w:rsidRPr="00291948" w:rsidRDefault="00360303" w:rsidP="00360303">
            <w:pPr>
              <w:pStyle w:val="Tabelid"/>
              <w:keepNext/>
            </w:pPr>
            <w:r w:rsidRPr="00291948">
              <w:t>10. Sotsiaalne kaitse</w:t>
            </w:r>
          </w:p>
        </w:tc>
        <w:tc>
          <w:tcPr>
            <w:tcW w:w="474" w:type="pct"/>
          </w:tcPr>
          <w:p w14:paraId="70A786FD" w14:textId="49A3E2F7" w:rsidR="00360303" w:rsidRPr="00291948" w:rsidRDefault="00360303" w:rsidP="00360303">
            <w:pPr>
              <w:pStyle w:val="Tabelid"/>
              <w:keepNext/>
              <w:cnfStyle w:val="000000000000" w:firstRow="0" w:lastRow="0" w:firstColumn="0" w:lastColumn="0" w:oddVBand="0" w:evenVBand="0" w:oddHBand="0" w:evenHBand="0" w:firstRowFirstColumn="0" w:firstRowLastColumn="0" w:lastRowFirstColumn="0" w:lastRowLastColumn="0"/>
            </w:pPr>
            <w:r w:rsidRPr="00291948">
              <w:t>10</w:t>
            </w:r>
          </w:p>
        </w:tc>
        <w:tc>
          <w:tcPr>
            <w:tcW w:w="369" w:type="pct"/>
            <w:vAlign w:val="center"/>
          </w:tcPr>
          <w:p w14:paraId="65F29650" w14:textId="3A0EF43F"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12,8</w:t>
            </w:r>
          </w:p>
        </w:tc>
        <w:tc>
          <w:tcPr>
            <w:tcW w:w="370" w:type="pct"/>
            <w:vAlign w:val="center"/>
          </w:tcPr>
          <w:p w14:paraId="267D6563" w14:textId="6E63F8A0"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15,0</w:t>
            </w:r>
          </w:p>
        </w:tc>
        <w:tc>
          <w:tcPr>
            <w:tcW w:w="369" w:type="pct"/>
            <w:vAlign w:val="center"/>
          </w:tcPr>
          <w:p w14:paraId="33A75724" w14:textId="765C9C4B"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13,6</w:t>
            </w:r>
          </w:p>
        </w:tc>
        <w:tc>
          <w:tcPr>
            <w:tcW w:w="370" w:type="pct"/>
            <w:vAlign w:val="center"/>
          </w:tcPr>
          <w:p w14:paraId="35C6C131" w14:textId="3BB1EB8F"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13,7</w:t>
            </w:r>
          </w:p>
        </w:tc>
        <w:tc>
          <w:tcPr>
            <w:tcW w:w="369" w:type="pct"/>
            <w:vAlign w:val="center"/>
          </w:tcPr>
          <w:p w14:paraId="69E26E31" w14:textId="1BD4FF7F"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14,0</w:t>
            </w:r>
          </w:p>
        </w:tc>
        <w:tc>
          <w:tcPr>
            <w:tcW w:w="370" w:type="pct"/>
            <w:vAlign w:val="center"/>
          </w:tcPr>
          <w:p w14:paraId="24EE48B9" w14:textId="090BC645"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14,1</w:t>
            </w:r>
          </w:p>
        </w:tc>
        <w:tc>
          <w:tcPr>
            <w:tcW w:w="369" w:type="pct"/>
            <w:vAlign w:val="center"/>
          </w:tcPr>
          <w:p w14:paraId="6266ABBC" w14:textId="6199F2FD" w:rsidR="00360303" w:rsidRPr="00360303"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14,2</w:t>
            </w:r>
          </w:p>
        </w:tc>
        <w:tc>
          <w:tcPr>
            <w:tcW w:w="369" w:type="pct"/>
            <w:vAlign w:val="center"/>
          </w:tcPr>
          <w:p w14:paraId="238F0B5C" w14:textId="5EB63DAB" w:rsidR="00360303" w:rsidRPr="00291948" w:rsidRDefault="00360303" w:rsidP="00360303">
            <w:pPr>
              <w:pStyle w:val="Tabelid"/>
              <w:jc w:val="right"/>
              <w:cnfStyle w:val="000000000000" w:firstRow="0" w:lastRow="0" w:firstColumn="0" w:lastColumn="0" w:oddVBand="0" w:evenVBand="0" w:oddHBand="0" w:evenHBand="0" w:firstRowFirstColumn="0" w:firstRowLastColumn="0" w:lastRowFirstColumn="0" w:lastRowLastColumn="0"/>
            </w:pPr>
            <w:r w:rsidRPr="00360303">
              <w:t>14,3</w:t>
            </w:r>
          </w:p>
        </w:tc>
      </w:tr>
      <w:tr w:rsidR="00360303" w:rsidRPr="005822EA" w14:paraId="0466E112" w14:textId="41B38B68" w:rsidTr="0036030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72" w:type="pct"/>
          </w:tcPr>
          <w:p w14:paraId="1DA0B248" w14:textId="673C3A4F" w:rsidR="00360303" w:rsidRPr="00291948" w:rsidRDefault="00360303" w:rsidP="00360303">
            <w:pPr>
              <w:pStyle w:val="Tabelid"/>
              <w:keepNext/>
            </w:pPr>
            <w:r w:rsidRPr="00291948">
              <w:t>11. Valitsussektori kulud kokku</w:t>
            </w:r>
          </w:p>
        </w:tc>
        <w:tc>
          <w:tcPr>
            <w:tcW w:w="474" w:type="pct"/>
          </w:tcPr>
          <w:p w14:paraId="38E424C9" w14:textId="68F312B1" w:rsidR="00360303" w:rsidRPr="00291948" w:rsidRDefault="00360303" w:rsidP="00360303">
            <w:pPr>
              <w:pStyle w:val="Tabelid"/>
              <w:keepNext/>
              <w:cnfStyle w:val="000000100000" w:firstRow="0" w:lastRow="0" w:firstColumn="0" w:lastColumn="0" w:oddVBand="0" w:evenVBand="0" w:oddHBand="1" w:evenHBand="0" w:firstRowFirstColumn="0" w:firstRowLastColumn="0" w:lastRowFirstColumn="0" w:lastRowLastColumn="0"/>
            </w:pPr>
            <w:r w:rsidRPr="00291948">
              <w:t>TE</w:t>
            </w:r>
          </w:p>
        </w:tc>
        <w:tc>
          <w:tcPr>
            <w:tcW w:w="369" w:type="pct"/>
            <w:vAlign w:val="center"/>
          </w:tcPr>
          <w:p w14:paraId="23640871" w14:textId="1B9F0DC1"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39,4</w:t>
            </w:r>
          </w:p>
        </w:tc>
        <w:tc>
          <w:tcPr>
            <w:tcW w:w="370" w:type="pct"/>
            <w:vAlign w:val="center"/>
          </w:tcPr>
          <w:p w14:paraId="4FA48D39" w14:textId="7830B52F"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45,9</w:t>
            </w:r>
          </w:p>
        </w:tc>
        <w:tc>
          <w:tcPr>
            <w:tcW w:w="369" w:type="pct"/>
            <w:vAlign w:val="center"/>
          </w:tcPr>
          <w:p w14:paraId="76CAAA0E" w14:textId="4B64A028"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42,3</w:t>
            </w:r>
          </w:p>
        </w:tc>
        <w:tc>
          <w:tcPr>
            <w:tcW w:w="370" w:type="pct"/>
            <w:vAlign w:val="center"/>
          </w:tcPr>
          <w:p w14:paraId="57EADFEF" w14:textId="184AB004"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43,3</w:t>
            </w:r>
          </w:p>
        </w:tc>
        <w:tc>
          <w:tcPr>
            <w:tcW w:w="369" w:type="pct"/>
            <w:vAlign w:val="center"/>
          </w:tcPr>
          <w:p w14:paraId="541269F8" w14:textId="6FC73DC9"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43,6</w:t>
            </w:r>
          </w:p>
        </w:tc>
        <w:tc>
          <w:tcPr>
            <w:tcW w:w="370" w:type="pct"/>
            <w:vAlign w:val="center"/>
          </w:tcPr>
          <w:p w14:paraId="689DAF9C" w14:textId="3B566C8C"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43,1</w:t>
            </w:r>
          </w:p>
        </w:tc>
        <w:tc>
          <w:tcPr>
            <w:tcW w:w="369" w:type="pct"/>
            <w:vAlign w:val="center"/>
          </w:tcPr>
          <w:p w14:paraId="35CF2955" w14:textId="717577BE" w:rsidR="00360303" w:rsidRPr="00360303"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41,6</w:t>
            </w:r>
          </w:p>
        </w:tc>
        <w:tc>
          <w:tcPr>
            <w:tcW w:w="369" w:type="pct"/>
            <w:vAlign w:val="center"/>
          </w:tcPr>
          <w:p w14:paraId="1FF7FD75" w14:textId="38C76018" w:rsidR="00360303" w:rsidRPr="00291948" w:rsidRDefault="00360303" w:rsidP="00360303">
            <w:pPr>
              <w:pStyle w:val="Tabelid"/>
              <w:jc w:val="right"/>
              <w:cnfStyle w:val="000000100000" w:firstRow="0" w:lastRow="0" w:firstColumn="0" w:lastColumn="0" w:oddVBand="0" w:evenVBand="0" w:oddHBand="1" w:evenHBand="0" w:firstRowFirstColumn="0" w:firstRowLastColumn="0" w:lastRowFirstColumn="0" w:lastRowLastColumn="0"/>
            </w:pPr>
            <w:r w:rsidRPr="00360303">
              <w:t>40,4</w:t>
            </w:r>
          </w:p>
        </w:tc>
      </w:tr>
    </w:tbl>
    <w:p w14:paraId="79D52A81" w14:textId="54D7A541" w:rsidR="00831AD9" w:rsidRDefault="00831AD9" w:rsidP="00831AD9">
      <w:pPr>
        <w:pStyle w:val="Mrkus"/>
        <w:jc w:val="both"/>
      </w:pPr>
      <w:bookmarkStart w:id="190" w:name="_Ref511290385"/>
      <w:r w:rsidRPr="005822EA">
        <w:t>Allikad: Eesti Statistikaamet, Rahandusministeerium.</w:t>
      </w:r>
    </w:p>
    <w:bookmarkEnd w:id="190"/>
    <w:p w14:paraId="113A6751" w14:textId="0B1AE02F" w:rsidR="004C5163" w:rsidRDefault="004C5163" w:rsidP="00831AD9">
      <w:pPr>
        <w:pStyle w:val="Phitekst"/>
        <w:rPr>
          <w:highlight w:val="yellow"/>
        </w:rPr>
      </w:pPr>
    </w:p>
    <w:p w14:paraId="15770CB5" w14:textId="2B3867A8" w:rsidR="00831AD9" w:rsidRPr="00E54FF2" w:rsidRDefault="00831AD9" w:rsidP="00E54FF2">
      <w:pPr>
        <w:pStyle w:val="Pealdis"/>
      </w:pPr>
      <w:bookmarkStart w:id="191" w:name="_Ref81862174"/>
      <w:bookmarkStart w:id="192" w:name="_Toc100230297"/>
      <w:bookmarkEnd w:id="182"/>
      <w:bookmarkEnd w:id="183"/>
      <w:bookmarkEnd w:id="184"/>
      <w:bookmarkEnd w:id="185"/>
      <w:r w:rsidRPr="00B80522">
        <w:t xml:space="preserve">Tabel </w:t>
      </w:r>
      <w:fldSimple w:instr=" SEQ Tabel \* ARABIC ">
        <w:r w:rsidR="000C04EE">
          <w:rPr>
            <w:noProof/>
          </w:rPr>
          <w:t>12</w:t>
        </w:r>
      </w:fldSimple>
      <w:bookmarkEnd w:id="191"/>
      <w:r w:rsidRPr="00B80522">
        <w:t>. Tsükliliselt tasandatud eelarvepositsioon aastatel 20</w:t>
      </w:r>
      <w:r w:rsidR="00B855BB" w:rsidRPr="00B80522">
        <w:t>20</w:t>
      </w:r>
      <w:r w:rsidRPr="00B80522">
        <w:t>–202</w:t>
      </w:r>
      <w:r w:rsidR="00B855BB" w:rsidRPr="00B80522">
        <w:t>6</w:t>
      </w:r>
      <w:r w:rsidRPr="00B80522">
        <w:t xml:space="preserve"> (% SKPst)</w:t>
      </w:r>
      <w:bookmarkEnd w:id="192"/>
    </w:p>
    <w:tbl>
      <w:tblPr>
        <w:tblStyle w:val="Peentabel1"/>
        <w:tblW w:w="5000" w:type="pct"/>
        <w:tblLayout w:type="fixed"/>
        <w:tblLook w:val="04A0" w:firstRow="1" w:lastRow="0" w:firstColumn="1" w:lastColumn="0" w:noHBand="0" w:noVBand="1"/>
      </w:tblPr>
      <w:tblGrid>
        <w:gridCol w:w="3419"/>
        <w:gridCol w:w="1057"/>
        <w:gridCol w:w="790"/>
        <w:gridCol w:w="790"/>
        <w:gridCol w:w="792"/>
        <w:gridCol w:w="790"/>
        <w:gridCol w:w="792"/>
        <w:gridCol w:w="790"/>
        <w:gridCol w:w="758"/>
      </w:tblGrid>
      <w:tr w:rsidR="00831AD9" w:rsidRPr="005822EA" w14:paraId="7C9CE5F0" w14:textId="77777777" w:rsidTr="00B855BB">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713" w:type="pct"/>
          </w:tcPr>
          <w:p w14:paraId="132F3839" w14:textId="77777777" w:rsidR="00831AD9" w:rsidRPr="00C82870" w:rsidRDefault="00831AD9" w:rsidP="005150BF">
            <w:pPr>
              <w:pStyle w:val="Tabelid"/>
            </w:pPr>
          </w:p>
        </w:tc>
        <w:tc>
          <w:tcPr>
            <w:tcW w:w="529" w:type="pct"/>
          </w:tcPr>
          <w:p w14:paraId="158CAC97" w14:textId="7BBD819C" w:rsidR="00831AD9" w:rsidRPr="00C82870" w:rsidRDefault="00831AD9" w:rsidP="005150BF">
            <w:pPr>
              <w:pStyle w:val="Tabelid"/>
              <w:cnfStyle w:val="100000000000" w:firstRow="1" w:lastRow="0" w:firstColumn="0" w:lastColumn="0" w:oddVBand="0" w:evenVBand="0" w:oddHBand="0" w:evenHBand="0" w:firstRowFirstColumn="0" w:firstRowLastColumn="0" w:lastRowFirstColumn="0" w:lastRowLastColumn="0"/>
            </w:pPr>
            <w:r w:rsidRPr="00C82870">
              <w:t>2001–1</w:t>
            </w:r>
            <w:r w:rsidR="0067524A">
              <w:t>9</w:t>
            </w:r>
          </w:p>
        </w:tc>
        <w:tc>
          <w:tcPr>
            <w:tcW w:w="396" w:type="pct"/>
          </w:tcPr>
          <w:p w14:paraId="50C5D414" w14:textId="76818358" w:rsidR="00831AD9" w:rsidRPr="00C82870" w:rsidRDefault="00831AD9" w:rsidP="005150BF">
            <w:pPr>
              <w:pStyle w:val="Tabelid"/>
              <w:cnfStyle w:val="100000000000" w:firstRow="1" w:lastRow="0" w:firstColumn="0" w:lastColumn="0" w:oddVBand="0" w:evenVBand="0" w:oddHBand="0" w:evenHBand="0" w:firstRowFirstColumn="0" w:firstRowLastColumn="0" w:lastRowFirstColumn="0" w:lastRowLastColumn="0"/>
            </w:pPr>
            <w:r w:rsidRPr="00C82870">
              <w:t>20</w:t>
            </w:r>
            <w:r w:rsidR="0067524A">
              <w:t>20</w:t>
            </w:r>
          </w:p>
        </w:tc>
        <w:tc>
          <w:tcPr>
            <w:tcW w:w="396" w:type="pct"/>
          </w:tcPr>
          <w:p w14:paraId="5065D815" w14:textId="390D238C" w:rsidR="00831AD9" w:rsidRPr="00C82870" w:rsidRDefault="00831AD9" w:rsidP="005150BF">
            <w:pPr>
              <w:pStyle w:val="Tabelid"/>
              <w:cnfStyle w:val="100000000000" w:firstRow="1" w:lastRow="0" w:firstColumn="0" w:lastColumn="0" w:oddVBand="0" w:evenVBand="0" w:oddHBand="0" w:evenHBand="0" w:firstRowFirstColumn="0" w:firstRowLastColumn="0" w:lastRowFirstColumn="0" w:lastRowLastColumn="0"/>
            </w:pPr>
            <w:r w:rsidRPr="00C82870">
              <w:t>202</w:t>
            </w:r>
            <w:r w:rsidR="0067524A">
              <w:t>1</w:t>
            </w:r>
          </w:p>
        </w:tc>
        <w:tc>
          <w:tcPr>
            <w:tcW w:w="397" w:type="pct"/>
          </w:tcPr>
          <w:p w14:paraId="6E1F8F25" w14:textId="17647FF4" w:rsidR="00831AD9" w:rsidRPr="00C82870" w:rsidRDefault="00831AD9" w:rsidP="005150BF">
            <w:pPr>
              <w:pStyle w:val="Tabelid"/>
              <w:cnfStyle w:val="100000000000" w:firstRow="1" w:lastRow="0" w:firstColumn="0" w:lastColumn="0" w:oddVBand="0" w:evenVBand="0" w:oddHBand="0" w:evenHBand="0" w:firstRowFirstColumn="0" w:firstRowLastColumn="0" w:lastRowFirstColumn="0" w:lastRowLastColumn="0"/>
            </w:pPr>
            <w:r w:rsidRPr="00C82870">
              <w:t>202</w:t>
            </w:r>
            <w:r w:rsidR="0067524A">
              <w:t>2</w:t>
            </w:r>
          </w:p>
        </w:tc>
        <w:tc>
          <w:tcPr>
            <w:tcW w:w="396" w:type="pct"/>
          </w:tcPr>
          <w:p w14:paraId="4BC35F66" w14:textId="1BFEE3FB" w:rsidR="00831AD9" w:rsidRPr="00C82870" w:rsidRDefault="00831AD9" w:rsidP="005150BF">
            <w:pPr>
              <w:pStyle w:val="Tabelid"/>
              <w:cnfStyle w:val="100000000000" w:firstRow="1" w:lastRow="0" w:firstColumn="0" w:lastColumn="0" w:oddVBand="0" w:evenVBand="0" w:oddHBand="0" w:evenHBand="0" w:firstRowFirstColumn="0" w:firstRowLastColumn="0" w:lastRowFirstColumn="0" w:lastRowLastColumn="0"/>
            </w:pPr>
            <w:r w:rsidRPr="00C82870">
              <w:t>202</w:t>
            </w:r>
            <w:r w:rsidR="0067524A">
              <w:t>3</w:t>
            </w:r>
          </w:p>
        </w:tc>
        <w:tc>
          <w:tcPr>
            <w:tcW w:w="397" w:type="pct"/>
          </w:tcPr>
          <w:p w14:paraId="212FA7B2" w14:textId="79D95201" w:rsidR="00831AD9" w:rsidRPr="00C82870" w:rsidRDefault="00831AD9" w:rsidP="005150BF">
            <w:pPr>
              <w:pStyle w:val="Tabelid"/>
              <w:cnfStyle w:val="100000000000" w:firstRow="1" w:lastRow="0" w:firstColumn="0" w:lastColumn="0" w:oddVBand="0" w:evenVBand="0" w:oddHBand="0" w:evenHBand="0" w:firstRowFirstColumn="0" w:firstRowLastColumn="0" w:lastRowFirstColumn="0" w:lastRowLastColumn="0"/>
            </w:pPr>
            <w:r w:rsidRPr="00C82870">
              <w:t>202</w:t>
            </w:r>
            <w:r w:rsidR="0067524A">
              <w:t>4</w:t>
            </w:r>
          </w:p>
        </w:tc>
        <w:tc>
          <w:tcPr>
            <w:tcW w:w="396" w:type="pct"/>
          </w:tcPr>
          <w:p w14:paraId="3C4110C3" w14:textId="2B6B7703" w:rsidR="00831AD9" w:rsidRPr="00C82870" w:rsidRDefault="00831AD9" w:rsidP="005150BF">
            <w:pPr>
              <w:pStyle w:val="Tabelid"/>
              <w:cnfStyle w:val="100000000000" w:firstRow="1" w:lastRow="0" w:firstColumn="0" w:lastColumn="0" w:oddVBand="0" w:evenVBand="0" w:oddHBand="0" w:evenHBand="0" w:firstRowFirstColumn="0" w:firstRowLastColumn="0" w:lastRowFirstColumn="0" w:lastRowLastColumn="0"/>
            </w:pPr>
            <w:r w:rsidRPr="00C82870">
              <w:t>202</w:t>
            </w:r>
            <w:r w:rsidR="0067524A">
              <w:t>5</w:t>
            </w:r>
          </w:p>
        </w:tc>
        <w:tc>
          <w:tcPr>
            <w:tcW w:w="381" w:type="pct"/>
          </w:tcPr>
          <w:p w14:paraId="272CCC0D" w14:textId="1BEDD0A6" w:rsidR="00831AD9" w:rsidRPr="00C82870" w:rsidRDefault="00831AD9" w:rsidP="005150BF">
            <w:pPr>
              <w:pStyle w:val="Tabelid"/>
              <w:cnfStyle w:val="100000000000" w:firstRow="1" w:lastRow="0" w:firstColumn="0" w:lastColumn="0" w:oddVBand="0" w:evenVBand="0" w:oddHBand="0" w:evenHBand="0" w:firstRowFirstColumn="0" w:firstRowLastColumn="0" w:lastRowFirstColumn="0" w:lastRowLastColumn="0"/>
            </w:pPr>
            <w:r w:rsidRPr="00C82870">
              <w:t>202</w:t>
            </w:r>
            <w:r w:rsidR="0067524A">
              <w:t>6</w:t>
            </w:r>
          </w:p>
        </w:tc>
      </w:tr>
      <w:tr w:rsidR="0067524A" w:rsidRPr="0089101C" w14:paraId="2B97187C" w14:textId="77777777" w:rsidTr="00964E6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13" w:type="pct"/>
          </w:tcPr>
          <w:p w14:paraId="2A2E1283" w14:textId="77777777" w:rsidR="0067524A" w:rsidRPr="006178C9" w:rsidRDefault="0067524A" w:rsidP="0067524A">
            <w:pPr>
              <w:pStyle w:val="Tabelid"/>
            </w:pPr>
            <w:r w:rsidRPr="006178C9">
              <w:t>1. SKP reaalkasv (%)</w:t>
            </w:r>
          </w:p>
        </w:tc>
        <w:tc>
          <w:tcPr>
            <w:tcW w:w="529" w:type="pct"/>
            <w:vAlign w:val="center"/>
          </w:tcPr>
          <w:p w14:paraId="4488FBD7" w14:textId="5E7A9902" w:rsidR="0067524A" w:rsidRPr="006178C9" w:rsidRDefault="0067524A" w:rsidP="00964E6E">
            <w:pPr>
              <w:pStyle w:val="Tabelid"/>
              <w:jc w:val="right"/>
              <w:cnfStyle w:val="000000100000" w:firstRow="0" w:lastRow="0" w:firstColumn="0" w:lastColumn="0" w:oddVBand="0" w:evenVBand="0" w:oddHBand="1" w:evenHBand="0" w:firstRowFirstColumn="0" w:firstRowLastColumn="0" w:lastRowFirstColumn="0" w:lastRowLastColumn="0"/>
            </w:pPr>
            <w:r w:rsidRPr="00964E6E">
              <w:t>3,7</w:t>
            </w:r>
          </w:p>
        </w:tc>
        <w:tc>
          <w:tcPr>
            <w:tcW w:w="396" w:type="pct"/>
            <w:vAlign w:val="center"/>
          </w:tcPr>
          <w:p w14:paraId="56322F2F" w14:textId="3A939D8C" w:rsidR="0067524A" w:rsidRPr="006178C9" w:rsidRDefault="0067524A" w:rsidP="00964E6E">
            <w:pPr>
              <w:pStyle w:val="Tabelid"/>
              <w:jc w:val="right"/>
              <w:cnfStyle w:val="000000100000" w:firstRow="0" w:lastRow="0" w:firstColumn="0" w:lastColumn="0" w:oddVBand="0" w:evenVBand="0" w:oddHBand="1" w:evenHBand="0" w:firstRowFirstColumn="0" w:firstRowLastColumn="0" w:lastRowFirstColumn="0" w:lastRowLastColumn="0"/>
            </w:pPr>
            <w:r w:rsidRPr="00964E6E">
              <w:t>-3,0</w:t>
            </w:r>
          </w:p>
        </w:tc>
        <w:tc>
          <w:tcPr>
            <w:tcW w:w="396" w:type="pct"/>
            <w:vAlign w:val="center"/>
          </w:tcPr>
          <w:p w14:paraId="5E49143C" w14:textId="16A7D9FD" w:rsidR="0067524A" w:rsidRPr="006178C9" w:rsidRDefault="0067524A" w:rsidP="00964E6E">
            <w:pPr>
              <w:pStyle w:val="Tabelid"/>
              <w:jc w:val="right"/>
              <w:cnfStyle w:val="000000100000" w:firstRow="0" w:lastRow="0" w:firstColumn="0" w:lastColumn="0" w:oddVBand="0" w:evenVBand="0" w:oddHBand="1" w:evenHBand="0" w:firstRowFirstColumn="0" w:firstRowLastColumn="0" w:lastRowFirstColumn="0" w:lastRowLastColumn="0"/>
            </w:pPr>
            <w:r w:rsidRPr="00964E6E">
              <w:t>8,3</w:t>
            </w:r>
          </w:p>
        </w:tc>
        <w:tc>
          <w:tcPr>
            <w:tcW w:w="397" w:type="pct"/>
            <w:vAlign w:val="center"/>
          </w:tcPr>
          <w:p w14:paraId="349A2CCC" w14:textId="1CE7A4D6" w:rsidR="0067524A" w:rsidRPr="006178C9" w:rsidRDefault="0067524A" w:rsidP="00964E6E">
            <w:pPr>
              <w:pStyle w:val="Tabelid"/>
              <w:jc w:val="right"/>
              <w:cnfStyle w:val="000000100000" w:firstRow="0" w:lastRow="0" w:firstColumn="0" w:lastColumn="0" w:oddVBand="0" w:evenVBand="0" w:oddHBand="1" w:evenHBand="0" w:firstRowFirstColumn="0" w:firstRowLastColumn="0" w:lastRowFirstColumn="0" w:lastRowLastColumn="0"/>
            </w:pPr>
            <w:r w:rsidRPr="00964E6E">
              <w:t>-1,0</w:t>
            </w:r>
          </w:p>
        </w:tc>
        <w:tc>
          <w:tcPr>
            <w:tcW w:w="396" w:type="pct"/>
            <w:vAlign w:val="center"/>
          </w:tcPr>
          <w:p w14:paraId="19B55046" w14:textId="3392D39C" w:rsidR="0067524A" w:rsidRPr="006178C9" w:rsidRDefault="0067524A" w:rsidP="00964E6E">
            <w:pPr>
              <w:pStyle w:val="Tabelid"/>
              <w:jc w:val="right"/>
              <w:cnfStyle w:val="000000100000" w:firstRow="0" w:lastRow="0" w:firstColumn="0" w:lastColumn="0" w:oddVBand="0" w:evenVBand="0" w:oddHBand="1" w:evenHBand="0" w:firstRowFirstColumn="0" w:firstRowLastColumn="0" w:lastRowFirstColumn="0" w:lastRowLastColumn="0"/>
            </w:pPr>
            <w:r w:rsidRPr="00964E6E">
              <w:t>1,2</w:t>
            </w:r>
          </w:p>
        </w:tc>
        <w:tc>
          <w:tcPr>
            <w:tcW w:w="397" w:type="pct"/>
            <w:vAlign w:val="center"/>
          </w:tcPr>
          <w:p w14:paraId="5BD54FD1" w14:textId="26594E44" w:rsidR="0067524A" w:rsidRPr="006178C9" w:rsidRDefault="0067524A" w:rsidP="00964E6E">
            <w:pPr>
              <w:pStyle w:val="Tabelid"/>
              <w:jc w:val="right"/>
              <w:cnfStyle w:val="000000100000" w:firstRow="0" w:lastRow="0" w:firstColumn="0" w:lastColumn="0" w:oddVBand="0" w:evenVBand="0" w:oddHBand="1" w:evenHBand="0" w:firstRowFirstColumn="0" w:firstRowLastColumn="0" w:lastRowFirstColumn="0" w:lastRowLastColumn="0"/>
            </w:pPr>
            <w:r w:rsidRPr="00964E6E">
              <w:t>3,2</w:t>
            </w:r>
          </w:p>
        </w:tc>
        <w:tc>
          <w:tcPr>
            <w:tcW w:w="396" w:type="pct"/>
            <w:vAlign w:val="center"/>
          </w:tcPr>
          <w:p w14:paraId="2163DC38" w14:textId="1A2C4C1F" w:rsidR="0067524A" w:rsidRPr="006178C9" w:rsidRDefault="0067524A" w:rsidP="00964E6E">
            <w:pPr>
              <w:pStyle w:val="Tabelid"/>
              <w:jc w:val="right"/>
              <w:cnfStyle w:val="000000100000" w:firstRow="0" w:lastRow="0" w:firstColumn="0" w:lastColumn="0" w:oddVBand="0" w:evenVBand="0" w:oddHBand="1" w:evenHBand="0" w:firstRowFirstColumn="0" w:firstRowLastColumn="0" w:lastRowFirstColumn="0" w:lastRowLastColumn="0"/>
            </w:pPr>
            <w:r w:rsidRPr="00964E6E">
              <w:t>2,7</w:t>
            </w:r>
          </w:p>
        </w:tc>
        <w:tc>
          <w:tcPr>
            <w:tcW w:w="381" w:type="pct"/>
            <w:vAlign w:val="center"/>
          </w:tcPr>
          <w:p w14:paraId="0F041B46" w14:textId="78024CFC" w:rsidR="0067524A" w:rsidRPr="006178C9" w:rsidRDefault="0067524A" w:rsidP="00964E6E">
            <w:pPr>
              <w:pStyle w:val="Tabelid"/>
              <w:jc w:val="right"/>
              <w:cnfStyle w:val="000000100000" w:firstRow="0" w:lastRow="0" w:firstColumn="0" w:lastColumn="0" w:oddVBand="0" w:evenVBand="0" w:oddHBand="1" w:evenHBand="0" w:firstRowFirstColumn="0" w:firstRowLastColumn="0" w:lastRowFirstColumn="0" w:lastRowLastColumn="0"/>
            </w:pPr>
            <w:r w:rsidRPr="00964E6E">
              <w:t>2,6</w:t>
            </w:r>
          </w:p>
        </w:tc>
      </w:tr>
      <w:tr w:rsidR="00831AD9" w:rsidRPr="0067524A" w14:paraId="16058303" w14:textId="77777777" w:rsidTr="00964E6E">
        <w:trPr>
          <w:trHeight w:val="255"/>
        </w:trPr>
        <w:tc>
          <w:tcPr>
            <w:cnfStyle w:val="001000000000" w:firstRow="0" w:lastRow="0" w:firstColumn="1" w:lastColumn="0" w:oddVBand="0" w:evenVBand="0" w:oddHBand="0" w:evenHBand="0" w:firstRowFirstColumn="0" w:firstRowLastColumn="0" w:lastRowFirstColumn="0" w:lastRowLastColumn="0"/>
            <w:tcW w:w="1713" w:type="pct"/>
          </w:tcPr>
          <w:p w14:paraId="5E930E88" w14:textId="77777777" w:rsidR="00831AD9" w:rsidRPr="00B80522" w:rsidRDefault="00831AD9" w:rsidP="005150BF">
            <w:pPr>
              <w:pStyle w:val="Tabelid"/>
            </w:pPr>
            <w:r w:rsidRPr="00B80522">
              <w:t>2. Valitsussektori eelarve</w:t>
            </w:r>
            <w:r w:rsidRPr="00B80522">
              <w:softHyphen/>
              <w:t>positsioon</w:t>
            </w:r>
          </w:p>
        </w:tc>
        <w:tc>
          <w:tcPr>
            <w:tcW w:w="529" w:type="pct"/>
            <w:vAlign w:val="center"/>
          </w:tcPr>
          <w:p w14:paraId="4AA16E2B" w14:textId="77777777" w:rsidR="00831AD9" w:rsidRPr="00B80522" w:rsidRDefault="00831AD9" w:rsidP="00B80522">
            <w:pPr>
              <w:pStyle w:val="Tabelid"/>
              <w:jc w:val="right"/>
              <w:cnfStyle w:val="000000000000" w:firstRow="0" w:lastRow="0" w:firstColumn="0" w:lastColumn="0" w:oddVBand="0" w:evenVBand="0" w:oddHBand="0" w:evenHBand="0" w:firstRowFirstColumn="0" w:firstRowLastColumn="0" w:lastRowFirstColumn="0" w:lastRowLastColumn="0"/>
            </w:pPr>
            <w:r w:rsidRPr="00B80522">
              <w:t>-</w:t>
            </w:r>
          </w:p>
        </w:tc>
        <w:tc>
          <w:tcPr>
            <w:tcW w:w="396" w:type="pct"/>
            <w:vAlign w:val="center"/>
          </w:tcPr>
          <w:p w14:paraId="2E0C3DA4" w14:textId="506B1EB8" w:rsidR="00831AD9" w:rsidRPr="00B80522" w:rsidRDefault="00C0591D" w:rsidP="00B80522">
            <w:pPr>
              <w:pStyle w:val="Tabelid"/>
              <w:jc w:val="right"/>
              <w:cnfStyle w:val="000000000000" w:firstRow="0" w:lastRow="0" w:firstColumn="0" w:lastColumn="0" w:oddVBand="0" w:evenVBand="0" w:oddHBand="0" w:evenHBand="0" w:firstRowFirstColumn="0" w:firstRowLastColumn="0" w:lastRowFirstColumn="0" w:lastRowLastColumn="0"/>
            </w:pPr>
            <w:r>
              <w:t>-5,0</w:t>
            </w:r>
          </w:p>
        </w:tc>
        <w:tc>
          <w:tcPr>
            <w:tcW w:w="396" w:type="pct"/>
            <w:vAlign w:val="center"/>
          </w:tcPr>
          <w:p w14:paraId="26A58423" w14:textId="38864B44" w:rsidR="00831AD9" w:rsidRPr="00B80522" w:rsidRDefault="00831AD9" w:rsidP="00B80522">
            <w:pPr>
              <w:pStyle w:val="Tabelid"/>
              <w:jc w:val="right"/>
              <w:cnfStyle w:val="000000000000" w:firstRow="0" w:lastRow="0" w:firstColumn="0" w:lastColumn="0" w:oddVBand="0" w:evenVBand="0" w:oddHBand="0" w:evenHBand="0" w:firstRowFirstColumn="0" w:firstRowLastColumn="0" w:lastRowFirstColumn="0" w:lastRowLastColumn="0"/>
            </w:pPr>
            <w:r w:rsidRPr="00B80522">
              <w:t>-</w:t>
            </w:r>
            <w:r w:rsidR="00C0591D">
              <w:t>2,4</w:t>
            </w:r>
          </w:p>
        </w:tc>
        <w:tc>
          <w:tcPr>
            <w:tcW w:w="397" w:type="pct"/>
            <w:vAlign w:val="center"/>
          </w:tcPr>
          <w:p w14:paraId="36CAF819" w14:textId="1302420D" w:rsidR="00831AD9" w:rsidRPr="00B80522" w:rsidRDefault="00831AD9" w:rsidP="00B80522">
            <w:pPr>
              <w:pStyle w:val="Tabelid"/>
              <w:jc w:val="right"/>
              <w:cnfStyle w:val="000000000000" w:firstRow="0" w:lastRow="0" w:firstColumn="0" w:lastColumn="0" w:oddVBand="0" w:evenVBand="0" w:oddHBand="0" w:evenHBand="0" w:firstRowFirstColumn="0" w:firstRowLastColumn="0" w:lastRowFirstColumn="0" w:lastRowLastColumn="0"/>
            </w:pPr>
            <w:r w:rsidRPr="00B80522">
              <w:t>-</w:t>
            </w:r>
            <w:r w:rsidR="00C0591D">
              <w:t>3,8</w:t>
            </w:r>
          </w:p>
        </w:tc>
        <w:tc>
          <w:tcPr>
            <w:tcW w:w="396" w:type="pct"/>
            <w:vAlign w:val="center"/>
          </w:tcPr>
          <w:p w14:paraId="239CB891" w14:textId="58ACB819" w:rsidR="00831AD9" w:rsidRPr="00B80522" w:rsidRDefault="00831AD9" w:rsidP="00B80522">
            <w:pPr>
              <w:pStyle w:val="Tabelid"/>
              <w:jc w:val="right"/>
              <w:cnfStyle w:val="000000000000" w:firstRow="0" w:lastRow="0" w:firstColumn="0" w:lastColumn="0" w:oddVBand="0" w:evenVBand="0" w:oddHBand="0" w:evenHBand="0" w:firstRowFirstColumn="0" w:firstRowLastColumn="0" w:lastRowFirstColumn="0" w:lastRowLastColumn="0"/>
            </w:pPr>
            <w:r w:rsidRPr="00B80522">
              <w:t>-</w:t>
            </w:r>
            <w:r w:rsidR="00C0591D">
              <w:t>3,7</w:t>
            </w:r>
          </w:p>
        </w:tc>
        <w:tc>
          <w:tcPr>
            <w:tcW w:w="397" w:type="pct"/>
            <w:vAlign w:val="center"/>
          </w:tcPr>
          <w:p w14:paraId="4E615237" w14:textId="751F8CF1" w:rsidR="00831AD9" w:rsidRPr="00B80522" w:rsidRDefault="00831AD9" w:rsidP="00B80522">
            <w:pPr>
              <w:pStyle w:val="Tabelid"/>
              <w:jc w:val="right"/>
              <w:cnfStyle w:val="000000000000" w:firstRow="0" w:lastRow="0" w:firstColumn="0" w:lastColumn="0" w:oddVBand="0" w:evenVBand="0" w:oddHBand="0" w:evenHBand="0" w:firstRowFirstColumn="0" w:firstRowLastColumn="0" w:lastRowFirstColumn="0" w:lastRowLastColumn="0"/>
            </w:pPr>
            <w:r w:rsidRPr="00B80522">
              <w:t>-</w:t>
            </w:r>
            <w:r w:rsidR="00C0591D">
              <w:t>3,5</w:t>
            </w:r>
          </w:p>
        </w:tc>
        <w:tc>
          <w:tcPr>
            <w:tcW w:w="396" w:type="pct"/>
            <w:vAlign w:val="center"/>
          </w:tcPr>
          <w:p w14:paraId="069BE306" w14:textId="566EEF0A" w:rsidR="00831AD9" w:rsidRPr="00B80522" w:rsidRDefault="00831AD9" w:rsidP="00B80522">
            <w:pPr>
              <w:pStyle w:val="Tabelid"/>
              <w:jc w:val="right"/>
              <w:cnfStyle w:val="000000000000" w:firstRow="0" w:lastRow="0" w:firstColumn="0" w:lastColumn="0" w:oddVBand="0" w:evenVBand="0" w:oddHBand="0" w:evenHBand="0" w:firstRowFirstColumn="0" w:firstRowLastColumn="0" w:lastRowFirstColumn="0" w:lastRowLastColumn="0"/>
            </w:pPr>
            <w:r w:rsidRPr="00B80522">
              <w:t>-</w:t>
            </w:r>
            <w:r w:rsidR="00C0591D">
              <w:t>2,8</w:t>
            </w:r>
          </w:p>
        </w:tc>
        <w:tc>
          <w:tcPr>
            <w:tcW w:w="381" w:type="pct"/>
            <w:vAlign w:val="center"/>
          </w:tcPr>
          <w:p w14:paraId="256104E5" w14:textId="78D52547" w:rsidR="00831AD9" w:rsidRPr="00B80522" w:rsidRDefault="00C0591D" w:rsidP="00B80522">
            <w:pPr>
              <w:pStyle w:val="Tabelid"/>
              <w:jc w:val="right"/>
              <w:cnfStyle w:val="000000000000" w:firstRow="0" w:lastRow="0" w:firstColumn="0" w:lastColumn="0" w:oddVBand="0" w:evenVBand="0" w:oddHBand="0" w:evenHBand="0" w:firstRowFirstColumn="0" w:firstRowLastColumn="0" w:lastRowFirstColumn="0" w:lastRowLastColumn="0"/>
            </w:pPr>
            <w:r>
              <w:t>-2,2</w:t>
            </w:r>
          </w:p>
        </w:tc>
      </w:tr>
      <w:tr w:rsidR="00831AD9" w:rsidRPr="0089101C" w14:paraId="60C6820C" w14:textId="77777777" w:rsidTr="00964E6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13" w:type="pct"/>
          </w:tcPr>
          <w:p w14:paraId="6C7FB7F2" w14:textId="77777777" w:rsidR="00831AD9" w:rsidRPr="0067524A" w:rsidRDefault="00831AD9" w:rsidP="005150BF">
            <w:pPr>
              <w:pStyle w:val="Tabelid"/>
              <w:rPr>
                <w:highlight w:val="yellow"/>
              </w:rPr>
            </w:pPr>
            <w:r w:rsidRPr="00B80522">
              <w:t>3. Intressimaksed</w:t>
            </w:r>
          </w:p>
        </w:tc>
        <w:tc>
          <w:tcPr>
            <w:tcW w:w="529" w:type="pct"/>
            <w:vAlign w:val="center"/>
          </w:tcPr>
          <w:p w14:paraId="7AC09F0B" w14:textId="77777777" w:rsidR="00831AD9" w:rsidRPr="00B80522" w:rsidRDefault="00831AD9" w:rsidP="00B80522">
            <w:pPr>
              <w:pStyle w:val="Tabelid"/>
              <w:jc w:val="right"/>
              <w:cnfStyle w:val="000000100000" w:firstRow="0" w:lastRow="0" w:firstColumn="0" w:lastColumn="0" w:oddVBand="0" w:evenVBand="0" w:oddHBand="1" w:evenHBand="0" w:firstRowFirstColumn="0" w:firstRowLastColumn="0" w:lastRowFirstColumn="0" w:lastRowLastColumn="0"/>
            </w:pPr>
            <w:r w:rsidRPr="00B80522">
              <w:t>-</w:t>
            </w:r>
          </w:p>
        </w:tc>
        <w:tc>
          <w:tcPr>
            <w:tcW w:w="396" w:type="pct"/>
            <w:vAlign w:val="center"/>
          </w:tcPr>
          <w:p w14:paraId="4AA26AFF" w14:textId="77777777" w:rsidR="00831AD9" w:rsidRPr="00B80522" w:rsidRDefault="00831AD9" w:rsidP="00B80522">
            <w:pPr>
              <w:pStyle w:val="Tabelid"/>
              <w:jc w:val="right"/>
              <w:cnfStyle w:val="000000100000" w:firstRow="0" w:lastRow="0" w:firstColumn="0" w:lastColumn="0" w:oddVBand="0" w:evenVBand="0" w:oddHBand="1" w:evenHBand="0" w:firstRowFirstColumn="0" w:firstRowLastColumn="0" w:lastRowFirstColumn="0" w:lastRowLastColumn="0"/>
            </w:pPr>
            <w:r w:rsidRPr="00B80522">
              <w:t>0,0</w:t>
            </w:r>
          </w:p>
        </w:tc>
        <w:tc>
          <w:tcPr>
            <w:tcW w:w="396" w:type="pct"/>
            <w:vAlign w:val="center"/>
          </w:tcPr>
          <w:p w14:paraId="53EF982B" w14:textId="77777777" w:rsidR="00831AD9" w:rsidRPr="00B80522" w:rsidRDefault="00831AD9" w:rsidP="00B80522">
            <w:pPr>
              <w:pStyle w:val="Tabelid"/>
              <w:jc w:val="right"/>
              <w:cnfStyle w:val="000000100000" w:firstRow="0" w:lastRow="0" w:firstColumn="0" w:lastColumn="0" w:oddVBand="0" w:evenVBand="0" w:oddHBand="1" w:evenHBand="0" w:firstRowFirstColumn="0" w:firstRowLastColumn="0" w:lastRowFirstColumn="0" w:lastRowLastColumn="0"/>
            </w:pPr>
            <w:r w:rsidRPr="00B80522">
              <w:t>0,0</w:t>
            </w:r>
          </w:p>
        </w:tc>
        <w:tc>
          <w:tcPr>
            <w:tcW w:w="397" w:type="pct"/>
            <w:vAlign w:val="center"/>
          </w:tcPr>
          <w:p w14:paraId="29AD9A2A" w14:textId="77777777" w:rsidR="00831AD9" w:rsidRPr="00B80522" w:rsidRDefault="00831AD9" w:rsidP="00B80522">
            <w:pPr>
              <w:pStyle w:val="Tabelid"/>
              <w:jc w:val="right"/>
              <w:cnfStyle w:val="000000100000" w:firstRow="0" w:lastRow="0" w:firstColumn="0" w:lastColumn="0" w:oddVBand="0" w:evenVBand="0" w:oddHBand="1" w:evenHBand="0" w:firstRowFirstColumn="0" w:firstRowLastColumn="0" w:lastRowFirstColumn="0" w:lastRowLastColumn="0"/>
            </w:pPr>
            <w:r w:rsidRPr="00B80522">
              <w:t>0,0</w:t>
            </w:r>
          </w:p>
        </w:tc>
        <w:tc>
          <w:tcPr>
            <w:tcW w:w="396" w:type="pct"/>
            <w:vAlign w:val="center"/>
          </w:tcPr>
          <w:p w14:paraId="0400105B" w14:textId="2403FC0C" w:rsidR="00831AD9" w:rsidRPr="00B80522" w:rsidRDefault="00831AD9" w:rsidP="00B80522">
            <w:pPr>
              <w:pStyle w:val="Tabelid"/>
              <w:jc w:val="right"/>
              <w:cnfStyle w:val="000000100000" w:firstRow="0" w:lastRow="0" w:firstColumn="0" w:lastColumn="0" w:oddVBand="0" w:evenVBand="0" w:oddHBand="1" w:evenHBand="0" w:firstRowFirstColumn="0" w:firstRowLastColumn="0" w:lastRowFirstColumn="0" w:lastRowLastColumn="0"/>
            </w:pPr>
            <w:r w:rsidRPr="00B80522">
              <w:t>0,</w:t>
            </w:r>
            <w:r w:rsidR="00FB123E">
              <w:t>2</w:t>
            </w:r>
          </w:p>
        </w:tc>
        <w:tc>
          <w:tcPr>
            <w:tcW w:w="397" w:type="pct"/>
            <w:vAlign w:val="center"/>
          </w:tcPr>
          <w:p w14:paraId="11803765" w14:textId="47E91786" w:rsidR="00831AD9" w:rsidRPr="00B80522" w:rsidRDefault="00831AD9" w:rsidP="00B80522">
            <w:pPr>
              <w:pStyle w:val="Tabelid"/>
              <w:jc w:val="right"/>
              <w:cnfStyle w:val="000000100000" w:firstRow="0" w:lastRow="0" w:firstColumn="0" w:lastColumn="0" w:oddVBand="0" w:evenVBand="0" w:oddHBand="1" w:evenHBand="0" w:firstRowFirstColumn="0" w:firstRowLastColumn="0" w:lastRowFirstColumn="0" w:lastRowLastColumn="0"/>
            </w:pPr>
            <w:r w:rsidRPr="00B80522">
              <w:t>0,</w:t>
            </w:r>
            <w:r w:rsidR="00FB123E">
              <w:t>3</w:t>
            </w:r>
          </w:p>
        </w:tc>
        <w:tc>
          <w:tcPr>
            <w:tcW w:w="396" w:type="pct"/>
            <w:vAlign w:val="center"/>
          </w:tcPr>
          <w:p w14:paraId="7ED9EA57" w14:textId="54384E3D" w:rsidR="00831AD9" w:rsidRPr="00B80522" w:rsidRDefault="00831AD9" w:rsidP="00B80522">
            <w:pPr>
              <w:pStyle w:val="Tabelid"/>
              <w:jc w:val="right"/>
              <w:cnfStyle w:val="000000100000" w:firstRow="0" w:lastRow="0" w:firstColumn="0" w:lastColumn="0" w:oddVBand="0" w:evenVBand="0" w:oddHBand="1" w:evenHBand="0" w:firstRowFirstColumn="0" w:firstRowLastColumn="0" w:lastRowFirstColumn="0" w:lastRowLastColumn="0"/>
            </w:pPr>
            <w:r w:rsidRPr="00B80522">
              <w:t>0,</w:t>
            </w:r>
            <w:r w:rsidR="00FB123E">
              <w:t>3</w:t>
            </w:r>
          </w:p>
        </w:tc>
        <w:tc>
          <w:tcPr>
            <w:tcW w:w="381" w:type="pct"/>
            <w:vAlign w:val="center"/>
          </w:tcPr>
          <w:p w14:paraId="090004D8" w14:textId="0F1E5CD8" w:rsidR="00831AD9" w:rsidRPr="00FB123E" w:rsidRDefault="00831AD9" w:rsidP="00B80522">
            <w:pPr>
              <w:pStyle w:val="Tabelid"/>
              <w:jc w:val="right"/>
              <w:cnfStyle w:val="000000100000" w:firstRow="0" w:lastRow="0" w:firstColumn="0" w:lastColumn="0" w:oddVBand="0" w:evenVBand="0" w:oddHBand="1" w:evenHBand="0" w:firstRowFirstColumn="0" w:firstRowLastColumn="0" w:lastRowFirstColumn="0" w:lastRowLastColumn="0"/>
            </w:pPr>
            <w:r w:rsidRPr="00B80522">
              <w:t>0,</w:t>
            </w:r>
            <w:r w:rsidR="00FB123E">
              <w:t>3</w:t>
            </w:r>
          </w:p>
        </w:tc>
      </w:tr>
      <w:tr w:rsidR="0067524A" w:rsidRPr="0089101C" w14:paraId="0E76DCC7" w14:textId="77777777" w:rsidTr="00964E6E">
        <w:trPr>
          <w:trHeight w:val="255"/>
        </w:trPr>
        <w:tc>
          <w:tcPr>
            <w:cnfStyle w:val="001000000000" w:firstRow="0" w:lastRow="0" w:firstColumn="1" w:lastColumn="0" w:oddVBand="0" w:evenVBand="0" w:oddHBand="0" w:evenHBand="0" w:firstRowFirstColumn="0" w:firstRowLastColumn="0" w:lastRowFirstColumn="0" w:lastRowLastColumn="0"/>
            <w:tcW w:w="1713" w:type="pct"/>
          </w:tcPr>
          <w:p w14:paraId="3A77ED50" w14:textId="77777777" w:rsidR="0067524A" w:rsidRPr="006178C9" w:rsidRDefault="0067524A" w:rsidP="0067524A">
            <w:pPr>
              <w:pStyle w:val="Tabelid"/>
            </w:pPr>
            <w:r w:rsidRPr="006178C9">
              <w:t>4. Potentsiaalse SKP reaalkasv (%)</w:t>
            </w:r>
          </w:p>
        </w:tc>
        <w:tc>
          <w:tcPr>
            <w:tcW w:w="529" w:type="pct"/>
            <w:vAlign w:val="center"/>
          </w:tcPr>
          <w:p w14:paraId="25D7DF92" w14:textId="515DC32E" w:rsidR="0067524A" w:rsidRPr="006178C9" w:rsidRDefault="0067524A" w:rsidP="00964E6E">
            <w:pPr>
              <w:pStyle w:val="Tabelid"/>
              <w:jc w:val="right"/>
              <w:cnfStyle w:val="000000000000" w:firstRow="0" w:lastRow="0" w:firstColumn="0" w:lastColumn="0" w:oddVBand="0" w:evenVBand="0" w:oddHBand="0" w:evenHBand="0" w:firstRowFirstColumn="0" w:firstRowLastColumn="0" w:lastRowFirstColumn="0" w:lastRowLastColumn="0"/>
            </w:pPr>
            <w:r w:rsidRPr="00964E6E">
              <w:t>3,5</w:t>
            </w:r>
          </w:p>
        </w:tc>
        <w:tc>
          <w:tcPr>
            <w:tcW w:w="396" w:type="pct"/>
            <w:vAlign w:val="center"/>
          </w:tcPr>
          <w:p w14:paraId="65A89EC8" w14:textId="7B7B2CD6" w:rsidR="0067524A" w:rsidRPr="006178C9" w:rsidRDefault="0067524A" w:rsidP="00964E6E">
            <w:pPr>
              <w:pStyle w:val="Tabelid"/>
              <w:jc w:val="right"/>
              <w:cnfStyle w:val="000000000000" w:firstRow="0" w:lastRow="0" w:firstColumn="0" w:lastColumn="0" w:oddVBand="0" w:evenVBand="0" w:oddHBand="0" w:evenHBand="0" w:firstRowFirstColumn="0" w:firstRowLastColumn="0" w:lastRowFirstColumn="0" w:lastRowLastColumn="0"/>
            </w:pPr>
            <w:r w:rsidRPr="00964E6E">
              <w:t>3,0</w:t>
            </w:r>
          </w:p>
        </w:tc>
        <w:tc>
          <w:tcPr>
            <w:tcW w:w="396" w:type="pct"/>
            <w:vAlign w:val="center"/>
          </w:tcPr>
          <w:p w14:paraId="10E04815" w14:textId="5FACECAA" w:rsidR="0067524A" w:rsidRPr="006178C9" w:rsidRDefault="0067524A" w:rsidP="00964E6E">
            <w:pPr>
              <w:pStyle w:val="Tabelid"/>
              <w:jc w:val="right"/>
              <w:cnfStyle w:val="000000000000" w:firstRow="0" w:lastRow="0" w:firstColumn="0" w:lastColumn="0" w:oddVBand="0" w:evenVBand="0" w:oddHBand="0" w:evenHBand="0" w:firstRowFirstColumn="0" w:firstRowLastColumn="0" w:lastRowFirstColumn="0" w:lastRowLastColumn="0"/>
            </w:pPr>
            <w:r w:rsidRPr="00964E6E">
              <w:t>3,0</w:t>
            </w:r>
          </w:p>
        </w:tc>
        <w:tc>
          <w:tcPr>
            <w:tcW w:w="397" w:type="pct"/>
            <w:vAlign w:val="center"/>
          </w:tcPr>
          <w:p w14:paraId="073A16EA" w14:textId="05EA4C2E" w:rsidR="0067524A" w:rsidRPr="006178C9" w:rsidRDefault="0067524A" w:rsidP="00964E6E">
            <w:pPr>
              <w:pStyle w:val="Tabelid"/>
              <w:jc w:val="right"/>
              <w:cnfStyle w:val="000000000000" w:firstRow="0" w:lastRow="0" w:firstColumn="0" w:lastColumn="0" w:oddVBand="0" w:evenVBand="0" w:oddHBand="0" w:evenHBand="0" w:firstRowFirstColumn="0" w:firstRowLastColumn="0" w:lastRowFirstColumn="0" w:lastRowLastColumn="0"/>
            </w:pPr>
            <w:r w:rsidRPr="00964E6E">
              <w:t>2,1</w:t>
            </w:r>
          </w:p>
        </w:tc>
        <w:tc>
          <w:tcPr>
            <w:tcW w:w="396" w:type="pct"/>
            <w:vAlign w:val="center"/>
          </w:tcPr>
          <w:p w14:paraId="5A8DB4D8" w14:textId="2C7ACB1F" w:rsidR="0067524A" w:rsidRPr="006178C9" w:rsidRDefault="0067524A" w:rsidP="00964E6E">
            <w:pPr>
              <w:pStyle w:val="Tabelid"/>
              <w:jc w:val="right"/>
              <w:cnfStyle w:val="000000000000" w:firstRow="0" w:lastRow="0" w:firstColumn="0" w:lastColumn="0" w:oddVBand="0" w:evenVBand="0" w:oddHBand="0" w:evenHBand="0" w:firstRowFirstColumn="0" w:firstRowLastColumn="0" w:lastRowFirstColumn="0" w:lastRowLastColumn="0"/>
            </w:pPr>
            <w:r w:rsidRPr="00964E6E">
              <w:t>2,0</w:t>
            </w:r>
          </w:p>
        </w:tc>
        <w:tc>
          <w:tcPr>
            <w:tcW w:w="397" w:type="pct"/>
            <w:vAlign w:val="center"/>
          </w:tcPr>
          <w:p w14:paraId="095FB842" w14:textId="0EA30A41" w:rsidR="0067524A" w:rsidRPr="006178C9" w:rsidRDefault="0067524A" w:rsidP="00964E6E">
            <w:pPr>
              <w:pStyle w:val="Tabelid"/>
              <w:jc w:val="right"/>
              <w:cnfStyle w:val="000000000000" w:firstRow="0" w:lastRow="0" w:firstColumn="0" w:lastColumn="0" w:oddVBand="0" w:evenVBand="0" w:oddHBand="0" w:evenHBand="0" w:firstRowFirstColumn="0" w:firstRowLastColumn="0" w:lastRowFirstColumn="0" w:lastRowLastColumn="0"/>
            </w:pPr>
            <w:r w:rsidRPr="00964E6E">
              <w:t>2,1</w:t>
            </w:r>
          </w:p>
        </w:tc>
        <w:tc>
          <w:tcPr>
            <w:tcW w:w="396" w:type="pct"/>
            <w:vAlign w:val="center"/>
          </w:tcPr>
          <w:p w14:paraId="382C8422" w14:textId="1C254B37" w:rsidR="0067524A" w:rsidRPr="006178C9" w:rsidRDefault="0067524A" w:rsidP="00964E6E">
            <w:pPr>
              <w:pStyle w:val="Tabelid"/>
              <w:jc w:val="right"/>
              <w:cnfStyle w:val="000000000000" w:firstRow="0" w:lastRow="0" w:firstColumn="0" w:lastColumn="0" w:oddVBand="0" w:evenVBand="0" w:oddHBand="0" w:evenHBand="0" w:firstRowFirstColumn="0" w:firstRowLastColumn="0" w:lastRowFirstColumn="0" w:lastRowLastColumn="0"/>
            </w:pPr>
            <w:r w:rsidRPr="00964E6E">
              <w:t>1,9</w:t>
            </w:r>
          </w:p>
        </w:tc>
        <w:tc>
          <w:tcPr>
            <w:tcW w:w="381" w:type="pct"/>
            <w:vAlign w:val="center"/>
          </w:tcPr>
          <w:p w14:paraId="1ED5E31F" w14:textId="2762A4EF" w:rsidR="0067524A" w:rsidRPr="006178C9" w:rsidRDefault="0067524A" w:rsidP="00964E6E">
            <w:pPr>
              <w:pStyle w:val="Tabelid"/>
              <w:jc w:val="right"/>
              <w:cnfStyle w:val="000000000000" w:firstRow="0" w:lastRow="0" w:firstColumn="0" w:lastColumn="0" w:oddVBand="0" w:evenVBand="0" w:oddHBand="0" w:evenHBand="0" w:firstRowFirstColumn="0" w:firstRowLastColumn="0" w:lastRowFirstColumn="0" w:lastRowLastColumn="0"/>
            </w:pPr>
            <w:r w:rsidRPr="00964E6E">
              <w:t>2,1</w:t>
            </w:r>
          </w:p>
        </w:tc>
      </w:tr>
      <w:tr w:rsidR="0067524A" w:rsidRPr="0089101C" w14:paraId="785E925E" w14:textId="77777777" w:rsidTr="00964E6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13" w:type="pct"/>
          </w:tcPr>
          <w:p w14:paraId="010080D5" w14:textId="178F1256" w:rsidR="0067524A" w:rsidRPr="006178C9" w:rsidRDefault="0067524A" w:rsidP="0067524A">
            <w:pPr>
              <w:pStyle w:val="Tabelid"/>
            </w:pPr>
            <w:r w:rsidRPr="006178C9">
              <w:t xml:space="preserve">4.a Tööjõu panus </w:t>
            </w:r>
            <w:proofErr w:type="spellStart"/>
            <w:r w:rsidRPr="006178C9">
              <w:t>pot</w:t>
            </w:r>
            <w:proofErr w:type="spellEnd"/>
            <w:r w:rsidRPr="006178C9">
              <w:t>. kasvu (%)</w:t>
            </w:r>
          </w:p>
        </w:tc>
        <w:tc>
          <w:tcPr>
            <w:tcW w:w="529" w:type="pct"/>
            <w:vAlign w:val="center"/>
          </w:tcPr>
          <w:p w14:paraId="0B5B2A3F" w14:textId="4B21D048" w:rsidR="0067524A" w:rsidRPr="006178C9" w:rsidRDefault="0067524A" w:rsidP="00964E6E">
            <w:pPr>
              <w:pStyle w:val="Tabelid"/>
              <w:jc w:val="right"/>
              <w:cnfStyle w:val="000000100000" w:firstRow="0" w:lastRow="0" w:firstColumn="0" w:lastColumn="0" w:oddVBand="0" w:evenVBand="0" w:oddHBand="1" w:evenHBand="0" w:firstRowFirstColumn="0" w:firstRowLastColumn="0" w:lastRowFirstColumn="0" w:lastRowLastColumn="0"/>
            </w:pPr>
            <w:r w:rsidRPr="00964E6E">
              <w:t>-0,1</w:t>
            </w:r>
          </w:p>
        </w:tc>
        <w:tc>
          <w:tcPr>
            <w:tcW w:w="396" w:type="pct"/>
            <w:vAlign w:val="center"/>
          </w:tcPr>
          <w:p w14:paraId="43707593" w14:textId="1A370261" w:rsidR="0067524A" w:rsidRPr="006178C9" w:rsidRDefault="0067524A" w:rsidP="00964E6E">
            <w:pPr>
              <w:pStyle w:val="Tabelid"/>
              <w:jc w:val="right"/>
              <w:cnfStyle w:val="000000100000" w:firstRow="0" w:lastRow="0" w:firstColumn="0" w:lastColumn="0" w:oddVBand="0" w:evenVBand="0" w:oddHBand="1" w:evenHBand="0" w:firstRowFirstColumn="0" w:firstRowLastColumn="0" w:lastRowFirstColumn="0" w:lastRowLastColumn="0"/>
            </w:pPr>
            <w:r w:rsidRPr="00964E6E">
              <w:t>0,1</w:t>
            </w:r>
          </w:p>
        </w:tc>
        <w:tc>
          <w:tcPr>
            <w:tcW w:w="396" w:type="pct"/>
            <w:vAlign w:val="center"/>
          </w:tcPr>
          <w:p w14:paraId="4C5B60B4" w14:textId="300F8B9A" w:rsidR="0067524A" w:rsidRPr="006178C9" w:rsidRDefault="0067524A" w:rsidP="00964E6E">
            <w:pPr>
              <w:pStyle w:val="Tabelid"/>
              <w:jc w:val="right"/>
              <w:cnfStyle w:val="000000100000" w:firstRow="0" w:lastRow="0" w:firstColumn="0" w:lastColumn="0" w:oddVBand="0" w:evenVBand="0" w:oddHBand="1" w:evenHBand="0" w:firstRowFirstColumn="0" w:firstRowLastColumn="0" w:lastRowFirstColumn="0" w:lastRowLastColumn="0"/>
            </w:pPr>
            <w:r w:rsidRPr="00964E6E">
              <w:t>0,5</w:t>
            </w:r>
          </w:p>
        </w:tc>
        <w:tc>
          <w:tcPr>
            <w:tcW w:w="397" w:type="pct"/>
            <w:vAlign w:val="center"/>
          </w:tcPr>
          <w:p w14:paraId="6899C8E2" w14:textId="32D81F21" w:rsidR="0067524A" w:rsidRPr="006178C9" w:rsidRDefault="0067524A" w:rsidP="00964E6E">
            <w:pPr>
              <w:pStyle w:val="Tabelid"/>
              <w:jc w:val="right"/>
              <w:cnfStyle w:val="000000100000" w:firstRow="0" w:lastRow="0" w:firstColumn="0" w:lastColumn="0" w:oddVBand="0" w:evenVBand="0" w:oddHBand="1" w:evenHBand="0" w:firstRowFirstColumn="0" w:firstRowLastColumn="0" w:lastRowFirstColumn="0" w:lastRowLastColumn="0"/>
            </w:pPr>
            <w:r w:rsidRPr="00964E6E">
              <w:t>0,1</w:t>
            </w:r>
          </w:p>
        </w:tc>
        <w:tc>
          <w:tcPr>
            <w:tcW w:w="396" w:type="pct"/>
            <w:vAlign w:val="center"/>
          </w:tcPr>
          <w:p w14:paraId="6EBC6ABA" w14:textId="2FAC3473" w:rsidR="0067524A" w:rsidRPr="006178C9" w:rsidRDefault="0067524A" w:rsidP="00964E6E">
            <w:pPr>
              <w:pStyle w:val="Tabelid"/>
              <w:jc w:val="right"/>
              <w:cnfStyle w:val="000000100000" w:firstRow="0" w:lastRow="0" w:firstColumn="0" w:lastColumn="0" w:oddVBand="0" w:evenVBand="0" w:oddHBand="1" w:evenHBand="0" w:firstRowFirstColumn="0" w:firstRowLastColumn="0" w:lastRowFirstColumn="0" w:lastRowLastColumn="0"/>
            </w:pPr>
            <w:r w:rsidRPr="00964E6E">
              <w:t>0,0</w:t>
            </w:r>
          </w:p>
        </w:tc>
        <w:tc>
          <w:tcPr>
            <w:tcW w:w="397" w:type="pct"/>
            <w:vAlign w:val="center"/>
          </w:tcPr>
          <w:p w14:paraId="4D575F99" w14:textId="45875993" w:rsidR="0067524A" w:rsidRPr="006178C9" w:rsidRDefault="0067524A" w:rsidP="00964E6E">
            <w:pPr>
              <w:pStyle w:val="Tabelid"/>
              <w:jc w:val="right"/>
              <w:cnfStyle w:val="000000100000" w:firstRow="0" w:lastRow="0" w:firstColumn="0" w:lastColumn="0" w:oddVBand="0" w:evenVBand="0" w:oddHBand="1" w:evenHBand="0" w:firstRowFirstColumn="0" w:firstRowLastColumn="0" w:lastRowFirstColumn="0" w:lastRowLastColumn="0"/>
            </w:pPr>
            <w:r w:rsidRPr="00964E6E">
              <w:t>0,2</w:t>
            </w:r>
          </w:p>
        </w:tc>
        <w:tc>
          <w:tcPr>
            <w:tcW w:w="396" w:type="pct"/>
            <w:vAlign w:val="center"/>
          </w:tcPr>
          <w:p w14:paraId="2BFB5E81" w14:textId="0FF0B0E3" w:rsidR="0067524A" w:rsidRPr="006178C9" w:rsidRDefault="0067524A" w:rsidP="00964E6E">
            <w:pPr>
              <w:pStyle w:val="Tabelid"/>
              <w:jc w:val="right"/>
              <w:cnfStyle w:val="000000100000" w:firstRow="0" w:lastRow="0" w:firstColumn="0" w:lastColumn="0" w:oddVBand="0" w:evenVBand="0" w:oddHBand="1" w:evenHBand="0" w:firstRowFirstColumn="0" w:firstRowLastColumn="0" w:lastRowFirstColumn="0" w:lastRowLastColumn="0"/>
            </w:pPr>
            <w:r w:rsidRPr="00964E6E">
              <w:t>0,0</w:t>
            </w:r>
          </w:p>
        </w:tc>
        <w:tc>
          <w:tcPr>
            <w:tcW w:w="381" w:type="pct"/>
            <w:vAlign w:val="center"/>
          </w:tcPr>
          <w:p w14:paraId="6565403F" w14:textId="71B90926" w:rsidR="0067524A" w:rsidRPr="006178C9" w:rsidRDefault="0067524A" w:rsidP="00964E6E">
            <w:pPr>
              <w:pStyle w:val="Tabelid"/>
              <w:jc w:val="right"/>
              <w:cnfStyle w:val="000000100000" w:firstRow="0" w:lastRow="0" w:firstColumn="0" w:lastColumn="0" w:oddVBand="0" w:evenVBand="0" w:oddHBand="1" w:evenHBand="0" w:firstRowFirstColumn="0" w:firstRowLastColumn="0" w:lastRowFirstColumn="0" w:lastRowLastColumn="0"/>
            </w:pPr>
            <w:r w:rsidRPr="00964E6E">
              <w:t>0,0</w:t>
            </w:r>
          </w:p>
        </w:tc>
      </w:tr>
      <w:tr w:rsidR="0067524A" w:rsidRPr="0089101C" w14:paraId="346478A9" w14:textId="77777777" w:rsidTr="00964E6E">
        <w:trPr>
          <w:trHeight w:val="255"/>
        </w:trPr>
        <w:tc>
          <w:tcPr>
            <w:cnfStyle w:val="001000000000" w:firstRow="0" w:lastRow="0" w:firstColumn="1" w:lastColumn="0" w:oddVBand="0" w:evenVBand="0" w:oddHBand="0" w:evenHBand="0" w:firstRowFirstColumn="0" w:firstRowLastColumn="0" w:lastRowFirstColumn="0" w:lastRowLastColumn="0"/>
            <w:tcW w:w="1713" w:type="pct"/>
          </w:tcPr>
          <w:p w14:paraId="5F22060D" w14:textId="7D82DA30" w:rsidR="0067524A" w:rsidRPr="006178C9" w:rsidRDefault="0067524A" w:rsidP="0067524A">
            <w:pPr>
              <w:pStyle w:val="Tabelid"/>
            </w:pPr>
            <w:r w:rsidRPr="006178C9">
              <w:t xml:space="preserve">4.b Kapitali panus </w:t>
            </w:r>
            <w:proofErr w:type="spellStart"/>
            <w:r w:rsidRPr="006178C9">
              <w:t>pot</w:t>
            </w:r>
            <w:proofErr w:type="spellEnd"/>
            <w:r w:rsidRPr="006178C9">
              <w:t>. kasvu (%)</w:t>
            </w:r>
          </w:p>
        </w:tc>
        <w:tc>
          <w:tcPr>
            <w:tcW w:w="529" w:type="pct"/>
            <w:vAlign w:val="center"/>
          </w:tcPr>
          <w:p w14:paraId="374EFBC3" w14:textId="53172625" w:rsidR="0067524A" w:rsidRPr="006178C9" w:rsidRDefault="0067524A" w:rsidP="00964E6E">
            <w:pPr>
              <w:pStyle w:val="Tabelid"/>
              <w:jc w:val="right"/>
              <w:cnfStyle w:val="000000000000" w:firstRow="0" w:lastRow="0" w:firstColumn="0" w:lastColumn="0" w:oddVBand="0" w:evenVBand="0" w:oddHBand="0" w:evenHBand="0" w:firstRowFirstColumn="0" w:firstRowLastColumn="0" w:lastRowFirstColumn="0" w:lastRowLastColumn="0"/>
            </w:pPr>
            <w:r w:rsidRPr="00964E6E">
              <w:t>1,9</w:t>
            </w:r>
          </w:p>
        </w:tc>
        <w:tc>
          <w:tcPr>
            <w:tcW w:w="396" w:type="pct"/>
            <w:vAlign w:val="center"/>
          </w:tcPr>
          <w:p w14:paraId="6C1D35EA" w14:textId="5E0154A8" w:rsidR="0067524A" w:rsidRPr="006178C9" w:rsidRDefault="0067524A" w:rsidP="00964E6E">
            <w:pPr>
              <w:pStyle w:val="Tabelid"/>
              <w:jc w:val="right"/>
              <w:cnfStyle w:val="000000000000" w:firstRow="0" w:lastRow="0" w:firstColumn="0" w:lastColumn="0" w:oddVBand="0" w:evenVBand="0" w:oddHBand="0" w:evenHBand="0" w:firstRowFirstColumn="0" w:firstRowLastColumn="0" w:lastRowFirstColumn="0" w:lastRowLastColumn="0"/>
            </w:pPr>
            <w:r w:rsidRPr="00964E6E">
              <w:t>1,1</w:t>
            </w:r>
          </w:p>
        </w:tc>
        <w:tc>
          <w:tcPr>
            <w:tcW w:w="396" w:type="pct"/>
            <w:vAlign w:val="center"/>
          </w:tcPr>
          <w:p w14:paraId="37AA3630" w14:textId="169D5466" w:rsidR="0067524A" w:rsidRPr="006178C9" w:rsidRDefault="0067524A" w:rsidP="00964E6E">
            <w:pPr>
              <w:pStyle w:val="Tabelid"/>
              <w:jc w:val="right"/>
              <w:cnfStyle w:val="000000000000" w:firstRow="0" w:lastRow="0" w:firstColumn="0" w:lastColumn="0" w:oddVBand="0" w:evenVBand="0" w:oddHBand="0" w:evenHBand="0" w:firstRowFirstColumn="0" w:firstRowLastColumn="0" w:lastRowFirstColumn="0" w:lastRowLastColumn="0"/>
            </w:pPr>
            <w:r w:rsidRPr="00964E6E">
              <w:t>1,3</w:t>
            </w:r>
          </w:p>
        </w:tc>
        <w:tc>
          <w:tcPr>
            <w:tcW w:w="397" w:type="pct"/>
            <w:vAlign w:val="center"/>
          </w:tcPr>
          <w:p w14:paraId="17EDA3BC" w14:textId="2F757C22" w:rsidR="0067524A" w:rsidRPr="006178C9" w:rsidRDefault="0067524A" w:rsidP="00964E6E">
            <w:pPr>
              <w:pStyle w:val="Tabelid"/>
              <w:jc w:val="right"/>
              <w:cnfStyle w:val="000000000000" w:firstRow="0" w:lastRow="0" w:firstColumn="0" w:lastColumn="0" w:oddVBand="0" w:evenVBand="0" w:oddHBand="0" w:evenHBand="0" w:firstRowFirstColumn="0" w:firstRowLastColumn="0" w:lastRowFirstColumn="0" w:lastRowLastColumn="0"/>
            </w:pPr>
            <w:r w:rsidRPr="00964E6E">
              <w:t>1,5</w:t>
            </w:r>
          </w:p>
        </w:tc>
        <w:tc>
          <w:tcPr>
            <w:tcW w:w="396" w:type="pct"/>
            <w:vAlign w:val="center"/>
          </w:tcPr>
          <w:p w14:paraId="12AF240A" w14:textId="1B7B1011" w:rsidR="0067524A" w:rsidRPr="006178C9" w:rsidRDefault="0067524A" w:rsidP="00964E6E">
            <w:pPr>
              <w:pStyle w:val="Tabelid"/>
              <w:jc w:val="right"/>
              <w:cnfStyle w:val="000000000000" w:firstRow="0" w:lastRow="0" w:firstColumn="0" w:lastColumn="0" w:oddVBand="0" w:evenVBand="0" w:oddHBand="0" w:evenHBand="0" w:firstRowFirstColumn="0" w:firstRowLastColumn="0" w:lastRowFirstColumn="0" w:lastRowLastColumn="0"/>
            </w:pPr>
            <w:r w:rsidRPr="00964E6E">
              <w:t>1,5</w:t>
            </w:r>
          </w:p>
        </w:tc>
        <w:tc>
          <w:tcPr>
            <w:tcW w:w="397" w:type="pct"/>
            <w:vAlign w:val="center"/>
          </w:tcPr>
          <w:p w14:paraId="640644B5" w14:textId="11CF8777" w:rsidR="0067524A" w:rsidRPr="006178C9" w:rsidRDefault="0067524A" w:rsidP="00964E6E">
            <w:pPr>
              <w:pStyle w:val="Tabelid"/>
              <w:jc w:val="right"/>
              <w:cnfStyle w:val="000000000000" w:firstRow="0" w:lastRow="0" w:firstColumn="0" w:lastColumn="0" w:oddVBand="0" w:evenVBand="0" w:oddHBand="0" w:evenHBand="0" w:firstRowFirstColumn="0" w:firstRowLastColumn="0" w:lastRowFirstColumn="0" w:lastRowLastColumn="0"/>
            </w:pPr>
            <w:r w:rsidRPr="00964E6E">
              <w:t>1,4</w:t>
            </w:r>
          </w:p>
        </w:tc>
        <w:tc>
          <w:tcPr>
            <w:tcW w:w="396" w:type="pct"/>
            <w:vAlign w:val="center"/>
          </w:tcPr>
          <w:p w14:paraId="5F86D2FB" w14:textId="67B267F1" w:rsidR="0067524A" w:rsidRPr="006178C9" w:rsidRDefault="0067524A" w:rsidP="00964E6E">
            <w:pPr>
              <w:pStyle w:val="Tabelid"/>
              <w:jc w:val="right"/>
              <w:cnfStyle w:val="000000000000" w:firstRow="0" w:lastRow="0" w:firstColumn="0" w:lastColumn="0" w:oddVBand="0" w:evenVBand="0" w:oddHBand="0" w:evenHBand="0" w:firstRowFirstColumn="0" w:firstRowLastColumn="0" w:lastRowFirstColumn="0" w:lastRowLastColumn="0"/>
            </w:pPr>
            <w:r w:rsidRPr="00964E6E">
              <w:t>1,3</w:t>
            </w:r>
          </w:p>
        </w:tc>
        <w:tc>
          <w:tcPr>
            <w:tcW w:w="381" w:type="pct"/>
            <w:vAlign w:val="center"/>
          </w:tcPr>
          <w:p w14:paraId="5258D15B" w14:textId="3FBAEDCE" w:rsidR="0067524A" w:rsidRPr="006178C9" w:rsidRDefault="0067524A" w:rsidP="00964E6E">
            <w:pPr>
              <w:pStyle w:val="Tabelid"/>
              <w:jc w:val="right"/>
              <w:cnfStyle w:val="000000000000" w:firstRow="0" w:lastRow="0" w:firstColumn="0" w:lastColumn="0" w:oddVBand="0" w:evenVBand="0" w:oddHBand="0" w:evenHBand="0" w:firstRowFirstColumn="0" w:firstRowLastColumn="0" w:lastRowFirstColumn="0" w:lastRowLastColumn="0"/>
            </w:pPr>
            <w:r w:rsidRPr="00964E6E">
              <w:t>1,3</w:t>
            </w:r>
          </w:p>
        </w:tc>
      </w:tr>
      <w:tr w:rsidR="0067524A" w:rsidRPr="0089101C" w14:paraId="1A804A8A" w14:textId="77777777" w:rsidTr="00964E6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13" w:type="pct"/>
          </w:tcPr>
          <w:p w14:paraId="0D75B4C1" w14:textId="77777777" w:rsidR="0067524A" w:rsidRPr="006178C9" w:rsidRDefault="0067524A" w:rsidP="0067524A">
            <w:pPr>
              <w:pStyle w:val="Tabelid"/>
            </w:pPr>
            <w:r w:rsidRPr="006178C9">
              <w:t xml:space="preserve">4.c Tootlikkuse panus </w:t>
            </w:r>
            <w:proofErr w:type="spellStart"/>
            <w:r w:rsidRPr="006178C9">
              <w:t>pot</w:t>
            </w:r>
            <w:proofErr w:type="spellEnd"/>
            <w:r w:rsidRPr="006178C9">
              <w:t>. kasvu (%)</w:t>
            </w:r>
          </w:p>
        </w:tc>
        <w:tc>
          <w:tcPr>
            <w:tcW w:w="529" w:type="pct"/>
            <w:vAlign w:val="center"/>
          </w:tcPr>
          <w:p w14:paraId="77A3FCEB" w14:textId="531042CC" w:rsidR="0067524A" w:rsidRPr="006178C9" w:rsidRDefault="0067524A" w:rsidP="00964E6E">
            <w:pPr>
              <w:pStyle w:val="Tabelid"/>
              <w:jc w:val="right"/>
              <w:cnfStyle w:val="000000100000" w:firstRow="0" w:lastRow="0" w:firstColumn="0" w:lastColumn="0" w:oddVBand="0" w:evenVBand="0" w:oddHBand="1" w:evenHBand="0" w:firstRowFirstColumn="0" w:firstRowLastColumn="0" w:lastRowFirstColumn="0" w:lastRowLastColumn="0"/>
            </w:pPr>
            <w:r w:rsidRPr="00964E6E">
              <w:t>1,6</w:t>
            </w:r>
          </w:p>
        </w:tc>
        <w:tc>
          <w:tcPr>
            <w:tcW w:w="396" w:type="pct"/>
            <w:vAlign w:val="center"/>
          </w:tcPr>
          <w:p w14:paraId="692AB509" w14:textId="643422F1" w:rsidR="0067524A" w:rsidRPr="006178C9" w:rsidRDefault="0067524A" w:rsidP="00964E6E">
            <w:pPr>
              <w:pStyle w:val="Tabelid"/>
              <w:jc w:val="right"/>
              <w:cnfStyle w:val="000000100000" w:firstRow="0" w:lastRow="0" w:firstColumn="0" w:lastColumn="0" w:oddVBand="0" w:evenVBand="0" w:oddHBand="1" w:evenHBand="0" w:firstRowFirstColumn="0" w:firstRowLastColumn="0" w:lastRowFirstColumn="0" w:lastRowLastColumn="0"/>
            </w:pPr>
            <w:r w:rsidRPr="00964E6E">
              <w:t>1,8</w:t>
            </w:r>
          </w:p>
        </w:tc>
        <w:tc>
          <w:tcPr>
            <w:tcW w:w="396" w:type="pct"/>
            <w:vAlign w:val="center"/>
          </w:tcPr>
          <w:p w14:paraId="2670093D" w14:textId="4E0A5C47" w:rsidR="0067524A" w:rsidRPr="006178C9" w:rsidRDefault="0067524A" w:rsidP="00964E6E">
            <w:pPr>
              <w:pStyle w:val="Tabelid"/>
              <w:jc w:val="right"/>
              <w:cnfStyle w:val="000000100000" w:firstRow="0" w:lastRow="0" w:firstColumn="0" w:lastColumn="0" w:oddVBand="0" w:evenVBand="0" w:oddHBand="1" w:evenHBand="0" w:firstRowFirstColumn="0" w:firstRowLastColumn="0" w:lastRowFirstColumn="0" w:lastRowLastColumn="0"/>
            </w:pPr>
            <w:r w:rsidRPr="00964E6E">
              <w:t>1,1</w:t>
            </w:r>
          </w:p>
        </w:tc>
        <w:tc>
          <w:tcPr>
            <w:tcW w:w="397" w:type="pct"/>
            <w:vAlign w:val="center"/>
          </w:tcPr>
          <w:p w14:paraId="331F4360" w14:textId="7EA5E4E4" w:rsidR="0067524A" w:rsidRPr="006178C9" w:rsidRDefault="0067524A" w:rsidP="00964E6E">
            <w:pPr>
              <w:pStyle w:val="Tabelid"/>
              <w:jc w:val="right"/>
              <w:cnfStyle w:val="000000100000" w:firstRow="0" w:lastRow="0" w:firstColumn="0" w:lastColumn="0" w:oddVBand="0" w:evenVBand="0" w:oddHBand="1" w:evenHBand="0" w:firstRowFirstColumn="0" w:firstRowLastColumn="0" w:lastRowFirstColumn="0" w:lastRowLastColumn="0"/>
            </w:pPr>
            <w:r w:rsidRPr="00964E6E">
              <w:t>0,5</w:t>
            </w:r>
          </w:p>
        </w:tc>
        <w:tc>
          <w:tcPr>
            <w:tcW w:w="396" w:type="pct"/>
            <w:vAlign w:val="center"/>
          </w:tcPr>
          <w:p w14:paraId="51688806" w14:textId="01CD6028" w:rsidR="0067524A" w:rsidRPr="006178C9" w:rsidRDefault="0067524A" w:rsidP="00964E6E">
            <w:pPr>
              <w:pStyle w:val="Tabelid"/>
              <w:jc w:val="right"/>
              <w:cnfStyle w:val="000000100000" w:firstRow="0" w:lastRow="0" w:firstColumn="0" w:lastColumn="0" w:oddVBand="0" w:evenVBand="0" w:oddHBand="1" w:evenHBand="0" w:firstRowFirstColumn="0" w:firstRowLastColumn="0" w:lastRowFirstColumn="0" w:lastRowLastColumn="0"/>
            </w:pPr>
            <w:r w:rsidRPr="00964E6E">
              <w:t>0,5</w:t>
            </w:r>
          </w:p>
        </w:tc>
        <w:tc>
          <w:tcPr>
            <w:tcW w:w="397" w:type="pct"/>
            <w:vAlign w:val="center"/>
          </w:tcPr>
          <w:p w14:paraId="32373954" w14:textId="610B0C68" w:rsidR="0067524A" w:rsidRPr="006178C9" w:rsidRDefault="0067524A" w:rsidP="00964E6E">
            <w:pPr>
              <w:pStyle w:val="Tabelid"/>
              <w:jc w:val="right"/>
              <w:cnfStyle w:val="000000100000" w:firstRow="0" w:lastRow="0" w:firstColumn="0" w:lastColumn="0" w:oddVBand="0" w:evenVBand="0" w:oddHBand="1" w:evenHBand="0" w:firstRowFirstColumn="0" w:firstRowLastColumn="0" w:lastRowFirstColumn="0" w:lastRowLastColumn="0"/>
            </w:pPr>
            <w:r w:rsidRPr="00964E6E">
              <w:t>0,5</w:t>
            </w:r>
          </w:p>
        </w:tc>
        <w:tc>
          <w:tcPr>
            <w:tcW w:w="396" w:type="pct"/>
            <w:vAlign w:val="center"/>
          </w:tcPr>
          <w:p w14:paraId="0B9F1B9E" w14:textId="7FC267A6" w:rsidR="0067524A" w:rsidRPr="006178C9" w:rsidRDefault="0067524A" w:rsidP="00964E6E">
            <w:pPr>
              <w:pStyle w:val="Tabelid"/>
              <w:jc w:val="right"/>
              <w:cnfStyle w:val="000000100000" w:firstRow="0" w:lastRow="0" w:firstColumn="0" w:lastColumn="0" w:oddVBand="0" w:evenVBand="0" w:oddHBand="1" w:evenHBand="0" w:firstRowFirstColumn="0" w:firstRowLastColumn="0" w:lastRowFirstColumn="0" w:lastRowLastColumn="0"/>
            </w:pPr>
            <w:r w:rsidRPr="00964E6E">
              <w:t>0,6</w:t>
            </w:r>
          </w:p>
        </w:tc>
        <w:tc>
          <w:tcPr>
            <w:tcW w:w="381" w:type="pct"/>
            <w:vAlign w:val="center"/>
          </w:tcPr>
          <w:p w14:paraId="71F3368A" w14:textId="42F0AD15" w:rsidR="0067524A" w:rsidRPr="006178C9" w:rsidRDefault="0067524A" w:rsidP="00964E6E">
            <w:pPr>
              <w:pStyle w:val="Tabelid"/>
              <w:jc w:val="right"/>
              <w:cnfStyle w:val="000000100000" w:firstRow="0" w:lastRow="0" w:firstColumn="0" w:lastColumn="0" w:oddVBand="0" w:evenVBand="0" w:oddHBand="1" w:evenHBand="0" w:firstRowFirstColumn="0" w:firstRowLastColumn="0" w:lastRowFirstColumn="0" w:lastRowLastColumn="0"/>
            </w:pPr>
            <w:r w:rsidRPr="00964E6E">
              <w:t>0,8</w:t>
            </w:r>
          </w:p>
        </w:tc>
      </w:tr>
      <w:tr w:rsidR="00B855BB" w:rsidRPr="0089101C" w14:paraId="361A25CB" w14:textId="77777777" w:rsidTr="00964E6E">
        <w:trPr>
          <w:trHeight w:val="255"/>
        </w:trPr>
        <w:tc>
          <w:tcPr>
            <w:cnfStyle w:val="001000000000" w:firstRow="0" w:lastRow="0" w:firstColumn="1" w:lastColumn="0" w:oddVBand="0" w:evenVBand="0" w:oddHBand="0" w:evenHBand="0" w:firstRowFirstColumn="0" w:firstRowLastColumn="0" w:lastRowFirstColumn="0" w:lastRowLastColumn="0"/>
            <w:tcW w:w="1713" w:type="pct"/>
          </w:tcPr>
          <w:p w14:paraId="46B85418" w14:textId="77777777" w:rsidR="00B855BB" w:rsidRPr="0089101C" w:rsidRDefault="00B855BB" w:rsidP="00B855BB">
            <w:pPr>
              <w:pStyle w:val="Tabelid"/>
            </w:pPr>
            <w:r w:rsidRPr="0089101C">
              <w:t>5. SKP lõhe (</w:t>
            </w:r>
            <w:proofErr w:type="spellStart"/>
            <w:r w:rsidRPr="005C246A">
              <w:rPr>
                <w:i/>
                <w:iCs/>
              </w:rPr>
              <w:t>output</w:t>
            </w:r>
            <w:proofErr w:type="spellEnd"/>
            <w:r w:rsidRPr="005C246A">
              <w:rPr>
                <w:i/>
                <w:iCs/>
              </w:rPr>
              <w:t xml:space="preserve"> </w:t>
            </w:r>
            <w:proofErr w:type="spellStart"/>
            <w:r w:rsidRPr="005C246A">
              <w:rPr>
                <w:i/>
                <w:iCs/>
              </w:rPr>
              <w:t>gap</w:t>
            </w:r>
            <w:proofErr w:type="spellEnd"/>
            <w:r w:rsidRPr="0089101C">
              <w:t>)</w:t>
            </w:r>
          </w:p>
        </w:tc>
        <w:tc>
          <w:tcPr>
            <w:tcW w:w="529" w:type="pct"/>
            <w:vAlign w:val="center"/>
          </w:tcPr>
          <w:p w14:paraId="287EECE5" w14:textId="1ADC866A" w:rsidR="00B855BB" w:rsidRPr="0089101C" w:rsidRDefault="00B855BB" w:rsidP="00964E6E">
            <w:pPr>
              <w:pStyle w:val="Tabelid"/>
              <w:jc w:val="right"/>
              <w:cnfStyle w:val="000000000000" w:firstRow="0" w:lastRow="0" w:firstColumn="0" w:lastColumn="0" w:oddVBand="0" w:evenVBand="0" w:oddHBand="0" w:evenHBand="0" w:firstRowFirstColumn="0" w:firstRowLastColumn="0" w:lastRowFirstColumn="0" w:lastRowLastColumn="0"/>
            </w:pPr>
            <w:r w:rsidRPr="00964E6E">
              <w:t>0,</w:t>
            </w:r>
            <w:r w:rsidR="00FB123E">
              <w:t>5</w:t>
            </w:r>
          </w:p>
        </w:tc>
        <w:tc>
          <w:tcPr>
            <w:tcW w:w="396" w:type="pct"/>
            <w:vAlign w:val="center"/>
          </w:tcPr>
          <w:p w14:paraId="2852CE4E" w14:textId="191D4FFA" w:rsidR="00B855BB" w:rsidRPr="0089101C" w:rsidRDefault="00B855BB" w:rsidP="00964E6E">
            <w:pPr>
              <w:pStyle w:val="Tabelid"/>
              <w:jc w:val="right"/>
              <w:cnfStyle w:val="000000000000" w:firstRow="0" w:lastRow="0" w:firstColumn="0" w:lastColumn="0" w:oddVBand="0" w:evenVBand="0" w:oddHBand="0" w:evenHBand="0" w:firstRowFirstColumn="0" w:firstRowLastColumn="0" w:lastRowFirstColumn="0" w:lastRowLastColumn="0"/>
            </w:pPr>
            <w:r w:rsidRPr="00964E6E">
              <w:t>-</w:t>
            </w:r>
            <w:r w:rsidR="00FB123E">
              <w:t>5</w:t>
            </w:r>
            <w:r w:rsidRPr="00964E6E">
              <w:t>,0</w:t>
            </w:r>
          </w:p>
        </w:tc>
        <w:tc>
          <w:tcPr>
            <w:tcW w:w="396" w:type="pct"/>
            <w:vAlign w:val="center"/>
          </w:tcPr>
          <w:p w14:paraId="0BC15A42" w14:textId="2B90F5E6" w:rsidR="00B855BB" w:rsidRPr="0089101C" w:rsidRDefault="00B855BB" w:rsidP="00964E6E">
            <w:pPr>
              <w:pStyle w:val="Tabelid"/>
              <w:jc w:val="right"/>
              <w:cnfStyle w:val="000000000000" w:firstRow="0" w:lastRow="0" w:firstColumn="0" w:lastColumn="0" w:oddVBand="0" w:evenVBand="0" w:oddHBand="0" w:evenHBand="0" w:firstRowFirstColumn="0" w:firstRowLastColumn="0" w:lastRowFirstColumn="0" w:lastRowLastColumn="0"/>
            </w:pPr>
            <w:r w:rsidRPr="00964E6E">
              <w:t>1,0</w:t>
            </w:r>
          </w:p>
        </w:tc>
        <w:tc>
          <w:tcPr>
            <w:tcW w:w="397" w:type="pct"/>
            <w:vAlign w:val="center"/>
          </w:tcPr>
          <w:p w14:paraId="13B05A3D" w14:textId="01665385" w:rsidR="00B855BB" w:rsidRPr="0089101C" w:rsidRDefault="00B855BB" w:rsidP="00964E6E">
            <w:pPr>
              <w:pStyle w:val="Tabelid"/>
              <w:jc w:val="right"/>
              <w:cnfStyle w:val="000000000000" w:firstRow="0" w:lastRow="0" w:firstColumn="0" w:lastColumn="0" w:oddVBand="0" w:evenVBand="0" w:oddHBand="0" w:evenHBand="0" w:firstRowFirstColumn="0" w:firstRowLastColumn="0" w:lastRowFirstColumn="0" w:lastRowLastColumn="0"/>
            </w:pPr>
            <w:r w:rsidRPr="00964E6E">
              <w:t>-2,0</w:t>
            </w:r>
          </w:p>
        </w:tc>
        <w:tc>
          <w:tcPr>
            <w:tcW w:w="396" w:type="pct"/>
            <w:vAlign w:val="center"/>
          </w:tcPr>
          <w:p w14:paraId="6F829BD7" w14:textId="6058DC1B" w:rsidR="00B855BB" w:rsidRPr="0089101C" w:rsidRDefault="00B855BB" w:rsidP="00964E6E">
            <w:pPr>
              <w:pStyle w:val="Tabelid"/>
              <w:jc w:val="right"/>
              <w:cnfStyle w:val="000000000000" w:firstRow="0" w:lastRow="0" w:firstColumn="0" w:lastColumn="0" w:oddVBand="0" w:evenVBand="0" w:oddHBand="0" w:evenHBand="0" w:firstRowFirstColumn="0" w:firstRowLastColumn="0" w:lastRowFirstColumn="0" w:lastRowLastColumn="0"/>
            </w:pPr>
            <w:r w:rsidRPr="00964E6E">
              <w:t>-2,8</w:t>
            </w:r>
          </w:p>
        </w:tc>
        <w:tc>
          <w:tcPr>
            <w:tcW w:w="397" w:type="pct"/>
            <w:vAlign w:val="center"/>
          </w:tcPr>
          <w:p w14:paraId="00A18477" w14:textId="59A51A60" w:rsidR="00B855BB" w:rsidRPr="0089101C" w:rsidRDefault="00B855BB" w:rsidP="00964E6E">
            <w:pPr>
              <w:pStyle w:val="Tabelid"/>
              <w:jc w:val="right"/>
              <w:cnfStyle w:val="000000000000" w:firstRow="0" w:lastRow="0" w:firstColumn="0" w:lastColumn="0" w:oddVBand="0" w:evenVBand="0" w:oddHBand="0" w:evenHBand="0" w:firstRowFirstColumn="0" w:firstRowLastColumn="0" w:lastRowFirstColumn="0" w:lastRowLastColumn="0"/>
            </w:pPr>
            <w:r w:rsidRPr="00964E6E">
              <w:t>-1,7</w:t>
            </w:r>
          </w:p>
        </w:tc>
        <w:tc>
          <w:tcPr>
            <w:tcW w:w="396" w:type="pct"/>
            <w:vAlign w:val="center"/>
          </w:tcPr>
          <w:p w14:paraId="4F63785C" w14:textId="2F29AD3A" w:rsidR="00B855BB" w:rsidRPr="0089101C" w:rsidRDefault="00B855BB" w:rsidP="00964E6E">
            <w:pPr>
              <w:pStyle w:val="Tabelid"/>
              <w:jc w:val="right"/>
              <w:cnfStyle w:val="000000000000" w:firstRow="0" w:lastRow="0" w:firstColumn="0" w:lastColumn="0" w:oddVBand="0" w:evenVBand="0" w:oddHBand="0" w:evenHBand="0" w:firstRowFirstColumn="0" w:firstRowLastColumn="0" w:lastRowFirstColumn="0" w:lastRowLastColumn="0"/>
            </w:pPr>
            <w:r w:rsidRPr="00964E6E">
              <w:t>-1,0</w:t>
            </w:r>
          </w:p>
        </w:tc>
        <w:tc>
          <w:tcPr>
            <w:tcW w:w="381" w:type="pct"/>
            <w:vAlign w:val="center"/>
          </w:tcPr>
          <w:p w14:paraId="360D44EE" w14:textId="01F3EA36" w:rsidR="00B855BB" w:rsidRPr="0089101C" w:rsidRDefault="00B855BB" w:rsidP="00964E6E">
            <w:pPr>
              <w:pStyle w:val="Tabelid"/>
              <w:jc w:val="right"/>
              <w:cnfStyle w:val="000000000000" w:firstRow="0" w:lastRow="0" w:firstColumn="0" w:lastColumn="0" w:oddVBand="0" w:evenVBand="0" w:oddHBand="0" w:evenHBand="0" w:firstRowFirstColumn="0" w:firstRowLastColumn="0" w:lastRowFirstColumn="0" w:lastRowLastColumn="0"/>
            </w:pPr>
            <w:r w:rsidRPr="00964E6E">
              <w:t>-0,4</w:t>
            </w:r>
          </w:p>
        </w:tc>
      </w:tr>
      <w:tr w:rsidR="00831AD9" w:rsidRPr="00B855BB" w14:paraId="170298FB" w14:textId="77777777" w:rsidTr="00964E6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13" w:type="pct"/>
            <w:noWrap/>
          </w:tcPr>
          <w:p w14:paraId="2428B397" w14:textId="77777777" w:rsidR="00831AD9" w:rsidRPr="00B80522" w:rsidRDefault="00831AD9" w:rsidP="005150BF">
            <w:pPr>
              <w:pStyle w:val="Tabelid"/>
            </w:pPr>
            <w:r w:rsidRPr="00B80522">
              <w:t>6. Tsükliline eelarve komponent</w:t>
            </w:r>
          </w:p>
        </w:tc>
        <w:tc>
          <w:tcPr>
            <w:tcW w:w="529" w:type="pct"/>
            <w:vAlign w:val="center"/>
          </w:tcPr>
          <w:p w14:paraId="487E6F56" w14:textId="77777777" w:rsidR="00831AD9" w:rsidRPr="00B80522" w:rsidRDefault="00831AD9" w:rsidP="00B80522">
            <w:pPr>
              <w:pStyle w:val="Tabelid"/>
              <w:jc w:val="right"/>
              <w:cnfStyle w:val="000000100000" w:firstRow="0" w:lastRow="0" w:firstColumn="0" w:lastColumn="0" w:oddVBand="0" w:evenVBand="0" w:oddHBand="1" w:evenHBand="0" w:firstRowFirstColumn="0" w:firstRowLastColumn="0" w:lastRowFirstColumn="0" w:lastRowLastColumn="0"/>
            </w:pPr>
            <w:r w:rsidRPr="00B80522">
              <w:t>-</w:t>
            </w:r>
          </w:p>
        </w:tc>
        <w:tc>
          <w:tcPr>
            <w:tcW w:w="396" w:type="pct"/>
            <w:vAlign w:val="center"/>
          </w:tcPr>
          <w:p w14:paraId="35821B06" w14:textId="1491D788" w:rsidR="00831AD9" w:rsidRPr="00B80522" w:rsidRDefault="00FB123E" w:rsidP="00B80522">
            <w:pPr>
              <w:pStyle w:val="Tabelid"/>
              <w:jc w:val="right"/>
              <w:cnfStyle w:val="000000100000" w:firstRow="0" w:lastRow="0" w:firstColumn="0" w:lastColumn="0" w:oddVBand="0" w:evenVBand="0" w:oddHBand="1" w:evenHBand="0" w:firstRowFirstColumn="0" w:firstRowLastColumn="0" w:lastRowFirstColumn="0" w:lastRowLastColumn="0"/>
            </w:pPr>
            <w:r>
              <w:t>-2,4</w:t>
            </w:r>
          </w:p>
        </w:tc>
        <w:tc>
          <w:tcPr>
            <w:tcW w:w="396" w:type="pct"/>
            <w:vAlign w:val="center"/>
          </w:tcPr>
          <w:p w14:paraId="5B53746B" w14:textId="3A06283D" w:rsidR="00831AD9" w:rsidRPr="00B80522" w:rsidRDefault="00FB123E" w:rsidP="00B80522">
            <w:pPr>
              <w:pStyle w:val="Tabelid"/>
              <w:jc w:val="right"/>
              <w:cnfStyle w:val="000000100000" w:firstRow="0" w:lastRow="0" w:firstColumn="0" w:lastColumn="0" w:oddVBand="0" w:evenVBand="0" w:oddHBand="1" w:evenHBand="0" w:firstRowFirstColumn="0" w:firstRowLastColumn="0" w:lastRowFirstColumn="0" w:lastRowLastColumn="0"/>
            </w:pPr>
            <w:r>
              <w:t>0,5</w:t>
            </w:r>
          </w:p>
        </w:tc>
        <w:tc>
          <w:tcPr>
            <w:tcW w:w="397" w:type="pct"/>
            <w:vAlign w:val="center"/>
          </w:tcPr>
          <w:p w14:paraId="2BA61267" w14:textId="19428FF8" w:rsidR="00831AD9" w:rsidRPr="00B80522" w:rsidRDefault="00FB123E" w:rsidP="00B80522">
            <w:pPr>
              <w:pStyle w:val="Tabelid"/>
              <w:jc w:val="right"/>
              <w:cnfStyle w:val="000000100000" w:firstRow="0" w:lastRow="0" w:firstColumn="0" w:lastColumn="0" w:oddVBand="0" w:evenVBand="0" w:oddHBand="1" w:evenHBand="0" w:firstRowFirstColumn="0" w:firstRowLastColumn="0" w:lastRowFirstColumn="0" w:lastRowLastColumn="0"/>
            </w:pPr>
            <w:r>
              <w:t>-1,0</w:t>
            </w:r>
          </w:p>
        </w:tc>
        <w:tc>
          <w:tcPr>
            <w:tcW w:w="396" w:type="pct"/>
            <w:vAlign w:val="center"/>
          </w:tcPr>
          <w:p w14:paraId="1D1CB19E" w14:textId="2999CE79" w:rsidR="00831AD9" w:rsidRPr="00B80522" w:rsidRDefault="00FB123E" w:rsidP="00B80522">
            <w:pPr>
              <w:pStyle w:val="Tabelid"/>
              <w:jc w:val="right"/>
              <w:cnfStyle w:val="000000100000" w:firstRow="0" w:lastRow="0" w:firstColumn="0" w:lastColumn="0" w:oddVBand="0" w:evenVBand="0" w:oddHBand="1" w:evenHBand="0" w:firstRowFirstColumn="0" w:firstRowLastColumn="0" w:lastRowFirstColumn="0" w:lastRowLastColumn="0"/>
            </w:pPr>
            <w:r>
              <w:t>-1</w:t>
            </w:r>
            <w:r w:rsidR="00831AD9" w:rsidRPr="00B80522">
              <w:t>,3</w:t>
            </w:r>
          </w:p>
        </w:tc>
        <w:tc>
          <w:tcPr>
            <w:tcW w:w="397" w:type="pct"/>
            <w:vAlign w:val="center"/>
          </w:tcPr>
          <w:p w14:paraId="70D6B6B7" w14:textId="0C92C656" w:rsidR="00831AD9" w:rsidRPr="00B80522" w:rsidRDefault="00FB123E" w:rsidP="00B80522">
            <w:pPr>
              <w:pStyle w:val="Tabelid"/>
              <w:jc w:val="right"/>
              <w:cnfStyle w:val="000000100000" w:firstRow="0" w:lastRow="0" w:firstColumn="0" w:lastColumn="0" w:oddVBand="0" w:evenVBand="0" w:oddHBand="1" w:evenHBand="0" w:firstRowFirstColumn="0" w:firstRowLastColumn="0" w:lastRowFirstColumn="0" w:lastRowLastColumn="0"/>
            </w:pPr>
            <w:r>
              <w:t>-</w:t>
            </w:r>
            <w:r w:rsidR="00831AD9" w:rsidRPr="00B80522">
              <w:t>0,</w:t>
            </w:r>
            <w:r>
              <w:t>8</w:t>
            </w:r>
          </w:p>
        </w:tc>
        <w:tc>
          <w:tcPr>
            <w:tcW w:w="396" w:type="pct"/>
            <w:vAlign w:val="center"/>
          </w:tcPr>
          <w:p w14:paraId="782C6CC9" w14:textId="75CF8491" w:rsidR="00831AD9" w:rsidRPr="00B80522" w:rsidRDefault="00FB123E" w:rsidP="00B80522">
            <w:pPr>
              <w:pStyle w:val="Tabelid"/>
              <w:jc w:val="right"/>
              <w:cnfStyle w:val="000000100000" w:firstRow="0" w:lastRow="0" w:firstColumn="0" w:lastColumn="0" w:oddVBand="0" w:evenVBand="0" w:oddHBand="1" w:evenHBand="0" w:firstRowFirstColumn="0" w:firstRowLastColumn="0" w:lastRowFirstColumn="0" w:lastRowLastColumn="0"/>
            </w:pPr>
            <w:r>
              <w:t>-</w:t>
            </w:r>
            <w:r w:rsidR="00831AD9" w:rsidRPr="00B80522">
              <w:t>0,</w:t>
            </w:r>
            <w:r>
              <w:t>5</w:t>
            </w:r>
          </w:p>
        </w:tc>
        <w:tc>
          <w:tcPr>
            <w:tcW w:w="381" w:type="pct"/>
            <w:vAlign w:val="center"/>
          </w:tcPr>
          <w:p w14:paraId="5B5640D9" w14:textId="351D98C6" w:rsidR="00831AD9" w:rsidRPr="00B80522" w:rsidRDefault="00FB123E" w:rsidP="00B80522">
            <w:pPr>
              <w:pStyle w:val="Tabelid"/>
              <w:jc w:val="right"/>
              <w:cnfStyle w:val="000000100000" w:firstRow="0" w:lastRow="0" w:firstColumn="0" w:lastColumn="0" w:oddVBand="0" w:evenVBand="0" w:oddHBand="1" w:evenHBand="0" w:firstRowFirstColumn="0" w:firstRowLastColumn="0" w:lastRowFirstColumn="0" w:lastRowLastColumn="0"/>
            </w:pPr>
            <w:r>
              <w:t>-</w:t>
            </w:r>
            <w:r w:rsidR="00831AD9" w:rsidRPr="00B80522">
              <w:t>0,</w:t>
            </w:r>
            <w:r>
              <w:t>2</w:t>
            </w:r>
          </w:p>
        </w:tc>
      </w:tr>
      <w:tr w:rsidR="00831AD9" w:rsidRPr="00B855BB" w14:paraId="43BFB061" w14:textId="77777777" w:rsidTr="00964E6E">
        <w:trPr>
          <w:trHeight w:val="255"/>
        </w:trPr>
        <w:tc>
          <w:tcPr>
            <w:cnfStyle w:val="001000000000" w:firstRow="0" w:lastRow="0" w:firstColumn="1" w:lastColumn="0" w:oddVBand="0" w:evenVBand="0" w:oddHBand="0" w:evenHBand="0" w:firstRowFirstColumn="0" w:firstRowLastColumn="0" w:lastRowFirstColumn="0" w:lastRowLastColumn="0"/>
            <w:tcW w:w="1713" w:type="pct"/>
          </w:tcPr>
          <w:p w14:paraId="59B387FC" w14:textId="77777777" w:rsidR="00831AD9" w:rsidRPr="00B80522" w:rsidRDefault="00831AD9" w:rsidP="005150BF">
            <w:pPr>
              <w:pStyle w:val="Tabelid"/>
            </w:pPr>
            <w:r w:rsidRPr="00B80522">
              <w:t>7. Tsükliliselt tasandatud eelarve</w:t>
            </w:r>
            <w:r w:rsidRPr="00B80522">
              <w:softHyphen/>
              <w:t xml:space="preserve">positsioon </w:t>
            </w:r>
          </w:p>
          <w:p w14:paraId="5774AE3B" w14:textId="77777777" w:rsidR="00831AD9" w:rsidRPr="00B80522" w:rsidRDefault="00831AD9" w:rsidP="005150BF">
            <w:pPr>
              <w:pStyle w:val="Tabelid"/>
            </w:pPr>
            <w:r w:rsidRPr="00B80522">
              <w:t>(7)=(2)-(6)</w:t>
            </w:r>
          </w:p>
        </w:tc>
        <w:tc>
          <w:tcPr>
            <w:tcW w:w="529" w:type="pct"/>
            <w:vAlign w:val="center"/>
          </w:tcPr>
          <w:p w14:paraId="324CE58D" w14:textId="77777777" w:rsidR="00831AD9" w:rsidRPr="00B80522" w:rsidRDefault="00831AD9" w:rsidP="00B80522">
            <w:pPr>
              <w:pStyle w:val="Tabelid"/>
              <w:jc w:val="right"/>
              <w:cnfStyle w:val="000000000000" w:firstRow="0" w:lastRow="0" w:firstColumn="0" w:lastColumn="0" w:oddVBand="0" w:evenVBand="0" w:oddHBand="0" w:evenHBand="0" w:firstRowFirstColumn="0" w:firstRowLastColumn="0" w:lastRowFirstColumn="0" w:lastRowLastColumn="0"/>
            </w:pPr>
            <w:r w:rsidRPr="00B80522">
              <w:t>-</w:t>
            </w:r>
          </w:p>
        </w:tc>
        <w:tc>
          <w:tcPr>
            <w:tcW w:w="396" w:type="pct"/>
            <w:vAlign w:val="center"/>
          </w:tcPr>
          <w:p w14:paraId="4B0F1D13" w14:textId="4B7AC590" w:rsidR="00831AD9" w:rsidRPr="00B80522" w:rsidRDefault="00831AD9" w:rsidP="00B80522">
            <w:pPr>
              <w:pStyle w:val="Tabelid"/>
              <w:jc w:val="right"/>
              <w:cnfStyle w:val="000000000000" w:firstRow="0" w:lastRow="0" w:firstColumn="0" w:lastColumn="0" w:oddVBand="0" w:evenVBand="0" w:oddHBand="0" w:evenHBand="0" w:firstRowFirstColumn="0" w:firstRowLastColumn="0" w:lastRowFirstColumn="0" w:lastRowLastColumn="0"/>
            </w:pPr>
            <w:r w:rsidRPr="00B80522">
              <w:t>-</w:t>
            </w:r>
            <w:r w:rsidR="00FB123E">
              <w:t>3,2</w:t>
            </w:r>
          </w:p>
        </w:tc>
        <w:tc>
          <w:tcPr>
            <w:tcW w:w="396" w:type="pct"/>
            <w:vAlign w:val="center"/>
          </w:tcPr>
          <w:p w14:paraId="1DDB4D5A" w14:textId="3FF9F2CA" w:rsidR="00831AD9" w:rsidRPr="00B80522" w:rsidRDefault="00831AD9" w:rsidP="00B80522">
            <w:pPr>
              <w:pStyle w:val="Tabelid"/>
              <w:jc w:val="right"/>
              <w:cnfStyle w:val="000000000000" w:firstRow="0" w:lastRow="0" w:firstColumn="0" w:lastColumn="0" w:oddVBand="0" w:evenVBand="0" w:oddHBand="0" w:evenHBand="0" w:firstRowFirstColumn="0" w:firstRowLastColumn="0" w:lastRowFirstColumn="0" w:lastRowLastColumn="0"/>
            </w:pPr>
            <w:r w:rsidRPr="00B80522">
              <w:t>-2,</w:t>
            </w:r>
            <w:r w:rsidR="00FB123E">
              <w:t>8</w:t>
            </w:r>
          </w:p>
        </w:tc>
        <w:tc>
          <w:tcPr>
            <w:tcW w:w="397" w:type="pct"/>
            <w:vAlign w:val="center"/>
          </w:tcPr>
          <w:p w14:paraId="01333B4F" w14:textId="72E4022D" w:rsidR="00831AD9" w:rsidRPr="00B80522" w:rsidRDefault="00831AD9" w:rsidP="00B80522">
            <w:pPr>
              <w:pStyle w:val="Tabelid"/>
              <w:jc w:val="right"/>
              <w:cnfStyle w:val="000000000000" w:firstRow="0" w:lastRow="0" w:firstColumn="0" w:lastColumn="0" w:oddVBand="0" w:evenVBand="0" w:oddHBand="0" w:evenHBand="0" w:firstRowFirstColumn="0" w:firstRowLastColumn="0" w:lastRowFirstColumn="0" w:lastRowLastColumn="0"/>
            </w:pPr>
            <w:r w:rsidRPr="00B80522">
              <w:t>-</w:t>
            </w:r>
            <w:r w:rsidR="00FB123E">
              <w:t>2,8</w:t>
            </w:r>
          </w:p>
        </w:tc>
        <w:tc>
          <w:tcPr>
            <w:tcW w:w="396" w:type="pct"/>
            <w:vAlign w:val="center"/>
          </w:tcPr>
          <w:p w14:paraId="2576EF5C" w14:textId="30346D89" w:rsidR="00831AD9" w:rsidRPr="00B80522" w:rsidRDefault="00831AD9" w:rsidP="00B80522">
            <w:pPr>
              <w:pStyle w:val="Tabelid"/>
              <w:jc w:val="right"/>
              <w:cnfStyle w:val="000000000000" w:firstRow="0" w:lastRow="0" w:firstColumn="0" w:lastColumn="0" w:oddVBand="0" w:evenVBand="0" w:oddHBand="0" w:evenHBand="0" w:firstRowFirstColumn="0" w:firstRowLastColumn="0" w:lastRowFirstColumn="0" w:lastRowLastColumn="0"/>
            </w:pPr>
            <w:r w:rsidRPr="00B80522">
              <w:t>-2,</w:t>
            </w:r>
            <w:r w:rsidR="00FB123E">
              <w:t>4</w:t>
            </w:r>
          </w:p>
        </w:tc>
        <w:tc>
          <w:tcPr>
            <w:tcW w:w="397" w:type="pct"/>
            <w:vAlign w:val="center"/>
          </w:tcPr>
          <w:p w14:paraId="5EC975F6" w14:textId="665AFDE7" w:rsidR="00831AD9" w:rsidRPr="00B80522" w:rsidRDefault="00831AD9" w:rsidP="00B80522">
            <w:pPr>
              <w:pStyle w:val="Tabelid"/>
              <w:jc w:val="right"/>
              <w:cnfStyle w:val="000000000000" w:firstRow="0" w:lastRow="0" w:firstColumn="0" w:lastColumn="0" w:oddVBand="0" w:evenVBand="0" w:oddHBand="0" w:evenHBand="0" w:firstRowFirstColumn="0" w:firstRowLastColumn="0" w:lastRowFirstColumn="0" w:lastRowLastColumn="0"/>
            </w:pPr>
            <w:r w:rsidRPr="00B80522">
              <w:t>-</w:t>
            </w:r>
            <w:r w:rsidR="00FB123E">
              <w:t>2,7</w:t>
            </w:r>
          </w:p>
        </w:tc>
        <w:tc>
          <w:tcPr>
            <w:tcW w:w="396" w:type="pct"/>
            <w:vAlign w:val="center"/>
          </w:tcPr>
          <w:p w14:paraId="71BF4607" w14:textId="4BCB7EA7" w:rsidR="00831AD9" w:rsidRPr="00B80522" w:rsidRDefault="00831AD9" w:rsidP="00B80522">
            <w:pPr>
              <w:pStyle w:val="Tabelid"/>
              <w:jc w:val="right"/>
              <w:cnfStyle w:val="000000000000" w:firstRow="0" w:lastRow="0" w:firstColumn="0" w:lastColumn="0" w:oddVBand="0" w:evenVBand="0" w:oddHBand="0" w:evenHBand="0" w:firstRowFirstColumn="0" w:firstRowLastColumn="0" w:lastRowFirstColumn="0" w:lastRowLastColumn="0"/>
            </w:pPr>
            <w:r w:rsidRPr="00B80522">
              <w:t>-</w:t>
            </w:r>
            <w:r w:rsidR="00FB123E">
              <w:t>2,3</w:t>
            </w:r>
          </w:p>
        </w:tc>
        <w:tc>
          <w:tcPr>
            <w:tcW w:w="381" w:type="pct"/>
            <w:vAlign w:val="center"/>
          </w:tcPr>
          <w:p w14:paraId="51EE7307" w14:textId="58C6B08C" w:rsidR="00831AD9" w:rsidRPr="00B80522" w:rsidRDefault="00FB123E" w:rsidP="00B80522">
            <w:pPr>
              <w:pStyle w:val="Tabelid"/>
              <w:jc w:val="right"/>
              <w:cnfStyle w:val="000000000000" w:firstRow="0" w:lastRow="0" w:firstColumn="0" w:lastColumn="0" w:oddVBand="0" w:evenVBand="0" w:oddHBand="0" w:evenHBand="0" w:firstRowFirstColumn="0" w:firstRowLastColumn="0" w:lastRowFirstColumn="0" w:lastRowLastColumn="0"/>
            </w:pPr>
            <w:r>
              <w:t>-2,0</w:t>
            </w:r>
          </w:p>
        </w:tc>
      </w:tr>
      <w:tr w:rsidR="00831AD9" w:rsidRPr="00B855BB" w14:paraId="245ACD91" w14:textId="77777777" w:rsidTr="00964E6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13" w:type="pct"/>
          </w:tcPr>
          <w:p w14:paraId="2BDE551A" w14:textId="77777777" w:rsidR="00831AD9" w:rsidRPr="00B80522" w:rsidRDefault="00831AD9" w:rsidP="005150BF">
            <w:pPr>
              <w:pStyle w:val="Tabelid"/>
            </w:pPr>
            <w:r w:rsidRPr="00B80522">
              <w:t xml:space="preserve">8. Tsükliliselt tasandatud primaarne positsioon </w:t>
            </w:r>
          </w:p>
          <w:p w14:paraId="0B739473" w14:textId="77777777" w:rsidR="00831AD9" w:rsidRPr="00B80522" w:rsidRDefault="00831AD9" w:rsidP="005150BF">
            <w:pPr>
              <w:pStyle w:val="Tabelid"/>
            </w:pPr>
            <w:r w:rsidRPr="00B80522">
              <w:t>(8)=(7)+(3)</w:t>
            </w:r>
          </w:p>
        </w:tc>
        <w:tc>
          <w:tcPr>
            <w:tcW w:w="529" w:type="pct"/>
            <w:vAlign w:val="center"/>
          </w:tcPr>
          <w:p w14:paraId="6C12B69F" w14:textId="77777777" w:rsidR="00831AD9" w:rsidRPr="00B80522" w:rsidRDefault="00831AD9" w:rsidP="00B80522">
            <w:pPr>
              <w:pStyle w:val="Tabelid"/>
              <w:jc w:val="right"/>
              <w:cnfStyle w:val="000000100000" w:firstRow="0" w:lastRow="0" w:firstColumn="0" w:lastColumn="0" w:oddVBand="0" w:evenVBand="0" w:oddHBand="1" w:evenHBand="0" w:firstRowFirstColumn="0" w:firstRowLastColumn="0" w:lastRowFirstColumn="0" w:lastRowLastColumn="0"/>
            </w:pPr>
            <w:r w:rsidRPr="00B80522">
              <w:t>-</w:t>
            </w:r>
          </w:p>
        </w:tc>
        <w:tc>
          <w:tcPr>
            <w:tcW w:w="396" w:type="pct"/>
            <w:vAlign w:val="center"/>
          </w:tcPr>
          <w:p w14:paraId="24F4F078" w14:textId="596FC991" w:rsidR="00831AD9" w:rsidRPr="00B80522" w:rsidRDefault="00831AD9" w:rsidP="00B80522">
            <w:pPr>
              <w:pStyle w:val="Tabelid"/>
              <w:jc w:val="right"/>
              <w:cnfStyle w:val="000000100000" w:firstRow="0" w:lastRow="0" w:firstColumn="0" w:lastColumn="0" w:oddVBand="0" w:evenVBand="0" w:oddHBand="1" w:evenHBand="0" w:firstRowFirstColumn="0" w:firstRowLastColumn="0" w:lastRowFirstColumn="0" w:lastRowLastColumn="0"/>
            </w:pPr>
            <w:r w:rsidRPr="00B80522">
              <w:t>-</w:t>
            </w:r>
            <w:r w:rsidR="00B802F2">
              <w:t>3,1</w:t>
            </w:r>
          </w:p>
        </w:tc>
        <w:tc>
          <w:tcPr>
            <w:tcW w:w="396" w:type="pct"/>
            <w:vAlign w:val="center"/>
          </w:tcPr>
          <w:p w14:paraId="63B9E510" w14:textId="3094B04B" w:rsidR="00831AD9" w:rsidRPr="00B80522" w:rsidRDefault="00831AD9" w:rsidP="00B80522">
            <w:pPr>
              <w:pStyle w:val="Tabelid"/>
              <w:jc w:val="right"/>
              <w:cnfStyle w:val="000000100000" w:firstRow="0" w:lastRow="0" w:firstColumn="0" w:lastColumn="0" w:oddVBand="0" w:evenVBand="0" w:oddHBand="1" w:evenHBand="0" w:firstRowFirstColumn="0" w:firstRowLastColumn="0" w:lastRowFirstColumn="0" w:lastRowLastColumn="0"/>
            </w:pPr>
            <w:r w:rsidRPr="00B80522">
              <w:t>-2,</w:t>
            </w:r>
            <w:r w:rsidR="00B802F2">
              <w:t>8</w:t>
            </w:r>
          </w:p>
        </w:tc>
        <w:tc>
          <w:tcPr>
            <w:tcW w:w="397" w:type="pct"/>
            <w:vAlign w:val="center"/>
          </w:tcPr>
          <w:p w14:paraId="6D957CDD" w14:textId="533C074F" w:rsidR="00831AD9" w:rsidRPr="00B80522" w:rsidRDefault="00831AD9" w:rsidP="00B80522">
            <w:pPr>
              <w:pStyle w:val="Tabelid"/>
              <w:jc w:val="right"/>
              <w:cnfStyle w:val="000000100000" w:firstRow="0" w:lastRow="0" w:firstColumn="0" w:lastColumn="0" w:oddVBand="0" w:evenVBand="0" w:oddHBand="1" w:evenHBand="0" w:firstRowFirstColumn="0" w:firstRowLastColumn="0" w:lastRowFirstColumn="0" w:lastRowLastColumn="0"/>
            </w:pPr>
            <w:r w:rsidRPr="00B80522">
              <w:t>-</w:t>
            </w:r>
            <w:r w:rsidR="00B802F2">
              <w:t>2,8</w:t>
            </w:r>
          </w:p>
        </w:tc>
        <w:tc>
          <w:tcPr>
            <w:tcW w:w="396" w:type="pct"/>
            <w:vAlign w:val="center"/>
          </w:tcPr>
          <w:p w14:paraId="1AE41343" w14:textId="40F14847" w:rsidR="00831AD9" w:rsidRPr="00B80522" w:rsidRDefault="00831AD9" w:rsidP="00B80522">
            <w:pPr>
              <w:pStyle w:val="Tabelid"/>
              <w:jc w:val="right"/>
              <w:cnfStyle w:val="000000100000" w:firstRow="0" w:lastRow="0" w:firstColumn="0" w:lastColumn="0" w:oddVBand="0" w:evenVBand="0" w:oddHBand="1" w:evenHBand="0" w:firstRowFirstColumn="0" w:firstRowLastColumn="0" w:lastRowFirstColumn="0" w:lastRowLastColumn="0"/>
            </w:pPr>
            <w:r w:rsidRPr="00B80522">
              <w:t>-2,</w:t>
            </w:r>
            <w:r w:rsidR="00B802F2">
              <w:t>2</w:t>
            </w:r>
          </w:p>
        </w:tc>
        <w:tc>
          <w:tcPr>
            <w:tcW w:w="397" w:type="pct"/>
            <w:vAlign w:val="center"/>
          </w:tcPr>
          <w:p w14:paraId="3AC3B740" w14:textId="036E98D3" w:rsidR="00831AD9" w:rsidRPr="00B80522" w:rsidRDefault="00831AD9" w:rsidP="00B80522">
            <w:pPr>
              <w:pStyle w:val="Tabelid"/>
              <w:jc w:val="right"/>
              <w:cnfStyle w:val="000000100000" w:firstRow="0" w:lastRow="0" w:firstColumn="0" w:lastColumn="0" w:oddVBand="0" w:evenVBand="0" w:oddHBand="1" w:evenHBand="0" w:firstRowFirstColumn="0" w:firstRowLastColumn="0" w:lastRowFirstColumn="0" w:lastRowLastColumn="0"/>
            </w:pPr>
            <w:r w:rsidRPr="00B80522">
              <w:t>-</w:t>
            </w:r>
            <w:r w:rsidR="00B802F2">
              <w:t>2,5</w:t>
            </w:r>
          </w:p>
        </w:tc>
        <w:tc>
          <w:tcPr>
            <w:tcW w:w="396" w:type="pct"/>
            <w:vAlign w:val="center"/>
          </w:tcPr>
          <w:p w14:paraId="0159D7CA" w14:textId="44E97FA3" w:rsidR="00831AD9" w:rsidRPr="00B80522" w:rsidRDefault="00831AD9" w:rsidP="00B80522">
            <w:pPr>
              <w:pStyle w:val="Tabelid"/>
              <w:jc w:val="right"/>
              <w:cnfStyle w:val="000000100000" w:firstRow="0" w:lastRow="0" w:firstColumn="0" w:lastColumn="0" w:oddVBand="0" w:evenVBand="0" w:oddHBand="1" w:evenHBand="0" w:firstRowFirstColumn="0" w:firstRowLastColumn="0" w:lastRowFirstColumn="0" w:lastRowLastColumn="0"/>
            </w:pPr>
            <w:r w:rsidRPr="00B80522">
              <w:t>-</w:t>
            </w:r>
            <w:r w:rsidR="00B802F2">
              <w:t>2,0</w:t>
            </w:r>
          </w:p>
        </w:tc>
        <w:tc>
          <w:tcPr>
            <w:tcW w:w="381" w:type="pct"/>
            <w:vAlign w:val="center"/>
          </w:tcPr>
          <w:p w14:paraId="6EB80312" w14:textId="4CD277C4" w:rsidR="00831AD9" w:rsidRPr="00B80522" w:rsidRDefault="00B802F2" w:rsidP="00B80522">
            <w:pPr>
              <w:pStyle w:val="Tabelid"/>
              <w:jc w:val="right"/>
              <w:cnfStyle w:val="000000100000" w:firstRow="0" w:lastRow="0" w:firstColumn="0" w:lastColumn="0" w:oddVBand="0" w:evenVBand="0" w:oddHBand="1" w:evenHBand="0" w:firstRowFirstColumn="0" w:firstRowLastColumn="0" w:lastRowFirstColumn="0" w:lastRowLastColumn="0"/>
            </w:pPr>
            <w:r>
              <w:t>-1,6</w:t>
            </w:r>
          </w:p>
        </w:tc>
      </w:tr>
      <w:tr w:rsidR="00831AD9" w:rsidRPr="00B855BB" w14:paraId="763BC0B2" w14:textId="77777777" w:rsidTr="00964E6E">
        <w:trPr>
          <w:trHeight w:val="240"/>
        </w:trPr>
        <w:tc>
          <w:tcPr>
            <w:cnfStyle w:val="001000000000" w:firstRow="0" w:lastRow="0" w:firstColumn="1" w:lastColumn="0" w:oddVBand="0" w:evenVBand="0" w:oddHBand="0" w:evenHBand="0" w:firstRowFirstColumn="0" w:firstRowLastColumn="0" w:lastRowFirstColumn="0" w:lastRowLastColumn="0"/>
            <w:tcW w:w="1713" w:type="pct"/>
          </w:tcPr>
          <w:p w14:paraId="4A8CF4A3" w14:textId="77777777" w:rsidR="00831AD9" w:rsidRPr="00B80522" w:rsidRDefault="00831AD9" w:rsidP="005150BF">
            <w:pPr>
              <w:pStyle w:val="Tabelid"/>
            </w:pPr>
            <w:r w:rsidRPr="00B80522">
              <w:t>9. Välisvahendite muutus, % SKPst</w:t>
            </w:r>
          </w:p>
        </w:tc>
        <w:tc>
          <w:tcPr>
            <w:tcW w:w="529" w:type="pct"/>
            <w:vAlign w:val="center"/>
          </w:tcPr>
          <w:p w14:paraId="1C91FD90" w14:textId="77777777" w:rsidR="00831AD9" w:rsidRPr="00B80522" w:rsidRDefault="00831AD9" w:rsidP="00B80522">
            <w:pPr>
              <w:pStyle w:val="Tabelid"/>
              <w:jc w:val="right"/>
              <w:cnfStyle w:val="000000000000" w:firstRow="0" w:lastRow="0" w:firstColumn="0" w:lastColumn="0" w:oddVBand="0" w:evenVBand="0" w:oddHBand="0" w:evenHBand="0" w:firstRowFirstColumn="0" w:firstRowLastColumn="0" w:lastRowFirstColumn="0" w:lastRowLastColumn="0"/>
            </w:pPr>
            <w:r w:rsidRPr="00B80522">
              <w:t>-</w:t>
            </w:r>
          </w:p>
        </w:tc>
        <w:tc>
          <w:tcPr>
            <w:tcW w:w="396" w:type="pct"/>
            <w:vAlign w:val="center"/>
          </w:tcPr>
          <w:p w14:paraId="27B949D1" w14:textId="77777777" w:rsidR="00831AD9" w:rsidRPr="00B80522" w:rsidRDefault="00831AD9" w:rsidP="00B80522">
            <w:pPr>
              <w:pStyle w:val="Tabelid"/>
              <w:jc w:val="right"/>
              <w:cnfStyle w:val="000000000000" w:firstRow="0" w:lastRow="0" w:firstColumn="0" w:lastColumn="0" w:oddVBand="0" w:evenVBand="0" w:oddHBand="0" w:evenHBand="0" w:firstRowFirstColumn="0" w:firstRowLastColumn="0" w:lastRowFirstColumn="0" w:lastRowLastColumn="0"/>
            </w:pPr>
            <w:r w:rsidRPr="00B80522">
              <w:t>0,0</w:t>
            </w:r>
          </w:p>
        </w:tc>
        <w:tc>
          <w:tcPr>
            <w:tcW w:w="396" w:type="pct"/>
            <w:vAlign w:val="center"/>
          </w:tcPr>
          <w:p w14:paraId="0A519BDD" w14:textId="41497517" w:rsidR="00831AD9" w:rsidRPr="00B80522" w:rsidRDefault="00831AD9" w:rsidP="00B80522">
            <w:pPr>
              <w:pStyle w:val="Tabelid"/>
              <w:jc w:val="right"/>
              <w:cnfStyle w:val="000000000000" w:firstRow="0" w:lastRow="0" w:firstColumn="0" w:lastColumn="0" w:oddVBand="0" w:evenVBand="0" w:oddHBand="0" w:evenHBand="0" w:firstRowFirstColumn="0" w:firstRowLastColumn="0" w:lastRowFirstColumn="0" w:lastRowLastColumn="0"/>
            </w:pPr>
            <w:r w:rsidRPr="00B80522">
              <w:t>0,</w:t>
            </w:r>
            <w:r w:rsidR="00B802F2">
              <w:t>3</w:t>
            </w:r>
          </w:p>
        </w:tc>
        <w:tc>
          <w:tcPr>
            <w:tcW w:w="397" w:type="pct"/>
            <w:vAlign w:val="center"/>
          </w:tcPr>
          <w:p w14:paraId="77D524F4" w14:textId="3A1DD9DC" w:rsidR="00831AD9" w:rsidRPr="00B80522" w:rsidRDefault="00B802F2" w:rsidP="00B80522">
            <w:pPr>
              <w:pStyle w:val="Tabelid"/>
              <w:jc w:val="right"/>
              <w:cnfStyle w:val="000000000000" w:firstRow="0" w:lastRow="0" w:firstColumn="0" w:lastColumn="0" w:oddVBand="0" w:evenVBand="0" w:oddHBand="0" w:evenHBand="0" w:firstRowFirstColumn="0" w:firstRowLastColumn="0" w:lastRowFirstColumn="0" w:lastRowLastColumn="0"/>
            </w:pPr>
            <w:r>
              <w:t>1,2</w:t>
            </w:r>
          </w:p>
        </w:tc>
        <w:tc>
          <w:tcPr>
            <w:tcW w:w="396" w:type="pct"/>
            <w:vAlign w:val="center"/>
          </w:tcPr>
          <w:p w14:paraId="46F7A345" w14:textId="77777777" w:rsidR="00831AD9" w:rsidRPr="00B80522" w:rsidRDefault="00831AD9" w:rsidP="00B80522">
            <w:pPr>
              <w:pStyle w:val="Tabelid"/>
              <w:jc w:val="right"/>
              <w:cnfStyle w:val="000000000000" w:firstRow="0" w:lastRow="0" w:firstColumn="0" w:lastColumn="0" w:oddVBand="0" w:evenVBand="0" w:oddHBand="0" w:evenHBand="0" w:firstRowFirstColumn="0" w:firstRowLastColumn="0" w:lastRowFirstColumn="0" w:lastRowLastColumn="0"/>
            </w:pPr>
            <w:r w:rsidRPr="00B80522">
              <w:t>1,0</w:t>
            </w:r>
          </w:p>
        </w:tc>
        <w:tc>
          <w:tcPr>
            <w:tcW w:w="397" w:type="pct"/>
            <w:vAlign w:val="center"/>
          </w:tcPr>
          <w:p w14:paraId="253F6702" w14:textId="263B92FB" w:rsidR="00831AD9" w:rsidRPr="00B80522" w:rsidRDefault="00B802F2" w:rsidP="00B80522">
            <w:pPr>
              <w:pStyle w:val="Tabelid"/>
              <w:jc w:val="right"/>
              <w:cnfStyle w:val="000000000000" w:firstRow="0" w:lastRow="0" w:firstColumn="0" w:lastColumn="0" w:oddVBand="0" w:evenVBand="0" w:oddHBand="0" w:evenHBand="0" w:firstRowFirstColumn="0" w:firstRowLastColumn="0" w:lastRowFirstColumn="0" w:lastRowLastColumn="0"/>
            </w:pPr>
            <w:r>
              <w:t>-</w:t>
            </w:r>
            <w:r w:rsidR="00831AD9" w:rsidRPr="00B80522">
              <w:t>0,</w:t>
            </w:r>
            <w:r>
              <w:t>3</w:t>
            </w:r>
          </w:p>
        </w:tc>
        <w:tc>
          <w:tcPr>
            <w:tcW w:w="396" w:type="pct"/>
            <w:vAlign w:val="center"/>
          </w:tcPr>
          <w:p w14:paraId="0C5F8282" w14:textId="56827AA7" w:rsidR="00831AD9" w:rsidRPr="00B80522" w:rsidRDefault="00831AD9" w:rsidP="00B80522">
            <w:pPr>
              <w:pStyle w:val="Tabelid"/>
              <w:jc w:val="right"/>
              <w:cnfStyle w:val="000000000000" w:firstRow="0" w:lastRow="0" w:firstColumn="0" w:lastColumn="0" w:oddVBand="0" w:evenVBand="0" w:oddHBand="0" w:evenHBand="0" w:firstRowFirstColumn="0" w:firstRowLastColumn="0" w:lastRowFirstColumn="0" w:lastRowLastColumn="0"/>
            </w:pPr>
            <w:r w:rsidRPr="00B80522">
              <w:t>-0,</w:t>
            </w:r>
            <w:r w:rsidR="00B802F2">
              <w:t>3</w:t>
            </w:r>
          </w:p>
        </w:tc>
        <w:tc>
          <w:tcPr>
            <w:tcW w:w="381" w:type="pct"/>
            <w:vAlign w:val="center"/>
          </w:tcPr>
          <w:p w14:paraId="471E7358" w14:textId="77777777" w:rsidR="00831AD9" w:rsidRPr="00B80522" w:rsidRDefault="00831AD9" w:rsidP="00B80522">
            <w:pPr>
              <w:pStyle w:val="Tabelid"/>
              <w:jc w:val="right"/>
              <w:cnfStyle w:val="000000000000" w:firstRow="0" w:lastRow="0" w:firstColumn="0" w:lastColumn="0" w:oddVBand="0" w:evenVBand="0" w:oddHBand="0" w:evenHBand="0" w:firstRowFirstColumn="0" w:firstRowLastColumn="0" w:lastRowFirstColumn="0" w:lastRowLastColumn="0"/>
            </w:pPr>
            <w:r w:rsidRPr="00B80522">
              <w:t>0,0</w:t>
            </w:r>
          </w:p>
        </w:tc>
      </w:tr>
      <w:tr w:rsidR="00E43E10" w:rsidRPr="005822EA" w14:paraId="14361683" w14:textId="77777777" w:rsidTr="00964E6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13" w:type="pct"/>
          </w:tcPr>
          <w:p w14:paraId="6D5C62AC" w14:textId="03A54ACD" w:rsidR="00E43E10" w:rsidRPr="00B80522" w:rsidRDefault="00E43E10" w:rsidP="00E43E10">
            <w:pPr>
              <w:pStyle w:val="Tabelid"/>
            </w:pPr>
            <w:r w:rsidRPr="00B80522">
              <w:t xml:space="preserve">10. Eelarvepoliitika </w:t>
            </w:r>
            <w:r w:rsidR="006B2363" w:rsidRPr="00B80522">
              <w:t>impulss</w:t>
            </w:r>
          </w:p>
        </w:tc>
        <w:tc>
          <w:tcPr>
            <w:tcW w:w="529" w:type="pct"/>
            <w:vAlign w:val="center"/>
          </w:tcPr>
          <w:p w14:paraId="0C4263FD" w14:textId="77777777" w:rsidR="00E43E10" w:rsidRPr="00B80522" w:rsidRDefault="00E43E10" w:rsidP="00B80522">
            <w:pPr>
              <w:pStyle w:val="Tabelid"/>
              <w:jc w:val="right"/>
              <w:cnfStyle w:val="000000100000" w:firstRow="0" w:lastRow="0" w:firstColumn="0" w:lastColumn="0" w:oddVBand="0" w:evenVBand="0" w:oddHBand="1" w:evenHBand="0" w:firstRowFirstColumn="0" w:firstRowLastColumn="0" w:lastRowFirstColumn="0" w:lastRowLastColumn="0"/>
            </w:pPr>
            <w:r w:rsidRPr="00B80522">
              <w:t>-</w:t>
            </w:r>
          </w:p>
        </w:tc>
        <w:tc>
          <w:tcPr>
            <w:tcW w:w="396" w:type="pct"/>
            <w:vAlign w:val="center"/>
          </w:tcPr>
          <w:p w14:paraId="6A028BFE" w14:textId="66A83FD8" w:rsidR="00E43E10" w:rsidRPr="00B80522" w:rsidRDefault="00B802F2" w:rsidP="00B80522">
            <w:pPr>
              <w:pStyle w:val="Tabelid"/>
              <w:jc w:val="right"/>
              <w:cnfStyle w:val="000000100000" w:firstRow="0" w:lastRow="0" w:firstColumn="0" w:lastColumn="0" w:oddVBand="0" w:evenVBand="0" w:oddHBand="1" w:evenHBand="0" w:firstRowFirstColumn="0" w:firstRowLastColumn="0" w:lastRowFirstColumn="0" w:lastRowLastColumn="0"/>
            </w:pPr>
            <w:r>
              <w:t>Vastu</w:t>
            </w:r>
            <w:r w:rsidR="00E43E10" w:rsidRPr="00B80522">
              <w:t xml:space="preserve">- </w:t>
            </w:r>
            <w:proofErr w:type="spellStart"/>
            <w:r w:rsidR="00E43E10" w:rsidRPr="00B80522">
              <w:t>tsükl</w:t>
            </w:r>
            <w:proofErr w:type="spellEnd"/>
            <w:r w:rsidR="00E43E10" w:rsidRPr="00B80522">
              <w:t>.</w:t>
            </w:r>
          </w:p>
        </w:tc>
        <w:tc>
          <w:tcPr>
            <w:tcW w:w="396" w:type="pct"/>
            <w:vAlign w:val="center"/>
          </w:tcPr>
          <w:p w14:paraId="7EC17A1E" w14:textId="77777777" w:rsidR="00E43E10" w:rsidRPr="00B80522" w:rsidRDefault="00E43E10" w:rsidP="00B80522">
            <w:pPr>
              <w:pStyle w:val="Tabelid"/>
              <w:jc w:val="right"/>
              <w:cnfStyle w:val="000000100000" w:firstRow="0" w:lastRow="0" w:firstColumn="0" w:lastColumn="0" w:oddVBand="0" w:evenVBand="0" w:oddHBand="1" w:evenHBand="0" w:firstRowFirstColumn="0" w:firstRowLastColumn="0" w:lastRowFirstColumn="0" w:lastRowLastColumn="0"/>
            </w:pPr>
            <w:r w:rsidRPr="00B80522">
              <w:t xml:space="preserve">Vastu- </w:t>
            </w:r>
            <w:proofErr w:type="spellStart"/>
            <w:r w:rsidRPr="00B80522">
              <w:t>tsükl</w:t>
            </w:r>
            <w:proofErr w:type="spellEnd"/>
            <w:r w:rsidRPr="00B80522">
              <w:t>.</w:t>
            </w:r>
          </w:p>
        </w:tc>
        <w:tc>
          <w:tcPr>
            <w:tcW w:w="397" w:type="pct"/>
            <w:vAlign w:val="center"/>
          </w:tcPr>
          <w:p w14:paraId="5F76D1D9" w14:textId="5FA61FE0" w:rsidR="00E43E10" w:rsidRPr="00B80522" w:rsidRDefault="00B802F2" w:rsidP="00B80522">
            <w:pPr>
              <w:pStyle w:val="Tabelid"/>
              <w:jc w:val="right"/>
              <w:cnfStyle w:val="000000100000" w:firstRow="0" w:lastRow="0" w:firstColumn="0" w:lastColumn="0" w:oddVBand="0" w:evenVBand="0" w:oddHBand="1" w:evenHBand="0" w:firstRowFirstColumn="0" w:firstRowLastColumn="0" w:lastRowFirstColumn="0" w:lastRowLastColumn="0"/>
            </w:pPr>
            <w:r>
              <w:t>Vastu</w:t>
            </w:r>
            <w:r w:rsidR="00E43E10" w:rsidRPr="00B80522">
              <w:t xml:space="preserve">- </w:t>
            </w:r>
            <w:proofErr w:type="spellStart"/>
            <w:r w:rsidR="00E43E10" w:rsidRPr="00B80522">
              <w:t>tsükl</w:t>
            </w:r>
            <w:proofErr w:type="spellEnd"/>
            <w:r w:rsidR="00E43E10" w:rsidRPr="00B80522">
              <w:t>.</w:t>
            </w:r>
          </w:p>
        </w:tc>
        <w:tc>
          <w:tcPr>
            <w:tcW w:w="396" w:type="pct"/>
            <w:vAlign w:val="center"/>
          </w:tcPr>
          <w:p w14:paraId="6C5D62E5" w14:textId="08F0A74A" w:rsidR="00E43E10" w:rsidRPr="00B80522" w:rsidRDefault="00E43E10" w:rsidP="00B80522">
            <w:pPr>
              <w:pStyle w:val="Tabelid"/>
              <w:jc w:val="right"/>
              <w:cnfStyle w:val="000000100000" w:firstRow="0" w:lastRow="0" w:firstColumn="0" w:lastColumn="0" w:oddVBand="0" w:evenVBand="0" w:oddHBand="1" w:evenHBand="0" w:firstRowFirstColumn="0" w:firstRowLastColumn="0" w:lastRowFirstColumn="0" w:lastRowLastColumn="0"/>
            </w:pPr>
            <w:r w:rsidRPr="00B80522">
              <w:t xml:space="preserve">Vastu- </w:t>
            </w:r>
            <w:proofErr w:type="spellStart"/>
            <w:r w:rsidRPr="00B80522">
              <w:t>tsükl</w:t>
            </w:r>
            <w:proofErr w:type="spellEnd"/>
            <w:r w:rsidRPr="00B80522">
              <w:t>.</w:t>
            </w:r>
          </w:p>
        </w:tc>
        <w:tc>
          <w:tcPr>
            <w:tcW w:w="397" w:type="pct"/>
            <w:vAlign w:val="center"/>
          </w:tcPr>
          <w:p w14:paraId="55A7EF10" w14:textId="0321CF7C" w:rsidR="00E43E10" w:rsidRPr="00B80522" w:rsidRDefault="00B802F2" w:rsidP="00B80522">
            <w:pPr>
              <w:pStyle w:val="Tabelid"/>
              <w:jc w:val="right"/>
              <w:cnfStyle w:val="000000100000" w:firstRow="0" w:lastRow="0" w:firstColumn="0" w:lastColumn="0" w:oddVBand="0" w:evenVBand="0" w:oddHBand="1" w:evenHBand="0" w:firstRowFirstColumn="0" w:firstRowLastColumn="0" w:lastRowFirstColumn="0" w:lastRowLastColumn="0"/>
            </w:pPr>
            <w:r>
              <w:t>Vastu</w:t>
            </w:r>
            <w:r w:rsidR="00E43E10" w:rsidRPr="00B80522">
              <w:t xml:space="preserve">- </w:t>
            </w:r>
            <w:proofErr w:type="spellStart"/>
            <w:r w:rsidR="00E43E10" w:rsidRPr="00B80522">
              <w:t>tsükl</w:t>
            </w:r>
            <w:proofErr w:type="spellEnd"/>
            <w:r w:rsidR="00E43E10" w:rsidRPr="00B80522">
              <w:t>.</w:t>
            </w:r>
          </w:p>
        </w:tc>
        <w:tc>
          <w:tcPr>
            <w:tcW w:w="396" w:type="pct"/>
            <w:vAlign w:val="center"/>
          </w:tcPr>
          <w:p w14:paraId="268B2D07" w14:textId="43218C3B" w:rsidR="00E43E10" w:rsidRPr="00B80522" w:rsidRDefault="00B802F2" w:rsidP="00B80522">
            <w:pPr>
              <w:pStyle w:val="Tabelid"/>
              <w:jc w:val="right"/>
              <w:cnfStyle w:val="000000100000" w:firstRow="0" w:lastRow="0" w:firstColumn="0" w:lastColumn="0" w:oddVBand="0" w:evenVBand="0" w:oddHBand="1" w:evenHBand="0" w:firstRowFirstColumn="0" w:firstRowLastColumn="0" w:lastRowFirstColumn="0" w:lastRowLastColumn="0"/>
            </w:pPr>
            <w:r>
              <w:t>Vastu</w:t>
            </w:r>
            <w:r w:rsidR="00E43E10" w:rsidRPr="00B80522">
              <w:t xml:space="preserve">- </w:t>
            </w:r>
            <w:proofErr w:type="spellStart"/>
            <w:r w:rsidR="00E43E10" w:rsidRPr="00B80522">
              <w:t>tsükl</w:t>
            </w:r>
            <w:proofErr w:type="spellEnd"/>
            <w:r w:rsidR="00E43E10" w:rsidRPr="00B80522">
              <w:t>.</w:t>
            </w:r>
          </w:p>
        </w:tc>
        <w:tc>
          <w:tcPr>
            <w:tcW w:w="381" w:type="pct"/>
            <w:vAlign w:val="center"/>
          </w:tcPr>
          <w:p w14:paraId="444B34D1" w14:textId="790D9883" w:rsidR="00E43E10" w:rsidRPr="00FB123E" w:rsidRDefault="00B802F2" w:rsidP="00B80522">
            <w:pPr>
              <w:pStyle w:val="Tabelid"/>
              <w:jc w:val="right"/>
              <w:cnfStyle w:val="000000100000" w:firstRow="0" w:lastRow="0" w:firstColumn="0" w:lastColumn="0" w:oddVBand="0" w:evenVBand="0" w:oddHBand="1" w:evenHBand="0" w:firstRowFirstColumn="0" w:firstRowLastColumn="0" w:lastRowFirstColumn="0" w:lastRowLastColumn="0"/>
            </w:pPr>
            <w:r>
              <w:t>Vastu</w:t>
            </w:r>
            <w:r w:rsidR="00E43E10" w:rsidRPr="00B80522">
              <w:t xml:space="preserve">- </w:t>
            </w:r>
            <w:proofErr w:type="spellStart"/>
            <w:r w:rsidR="00E43E10" w:rsidRPr="00B80522">
              <w:t>tsükl</w:t>
            </w:r>
            <w:proofErr w:type="spellEnd"/>
            <w:r w:rsidR="00E43E10" w:rsidRPr="00B80522">
              <w:t>.</w:t>
            </w:r>
          </w:p>
        </w:tc>
      </w:tr>
    </w:tbl>
    <w:p w14:paraId="7A0A583B" w14:textId="77777777" w:rsidR="00831AD9" w:rsidRPr="005822EA" w:rsidRDefault="00831AD9" w:rsidP="00831AD9">
      <w:pPr>
        <w:pStyle w:val="Mrkus"/>
        <w:jc w:val="both"/>
      </w:pPr>
      <w:r w:rsidRPr="005822EA">
        <w:t>Allikad: Eesti Statistikaamet, Rahandusministeerium.</w:t>
      </w:r>
    </w:p>
    <w:p w14:paraId="79E7DBEC" w14:textId="77777777" w:rsidR="00831AD9" w:rsidRPr="005822EA" w:rsidRDefault="00831AD9" w:rsidP="00831AD9">
      <w:pPr>
        <w:keepNext/>
        <w:jc w:val="both"/>
      </w:pPr>
    </w:p>
    <w:p w14:paraId="4EECDCC0" w14:textId="77777777" w:rsidR="00831AD9" w:rsidRPr="005822EA" w:rsidRDefault="00831AD9" w:rsidP="00831AD9">
      <w:pPr>
        <w:pStyle w:val="Pealdis"/>
        <w:jc w:val="both"/>
        <w:rPr>
          <w:highlight w:val="yellow"/>
        </w:rPr>
      </w:pPr>
      <w:bookmarkStart w:id="193" w:name="_Ref511290418"/>
      <w:bookmarkStart w:id="194" w:name="_Ref511290413"/>
      <w:r w:rsidRPr="005822EA">
        <w:rPr>
          <w:highlight w:val="yellow"/>
        </w:rPr>
        <w:br w:type="page"/>
      </w:r>
    </w:p>
    <w:p w14:paraId="6FDDA0DE" w14:textId="11600016" w:rsidR="00831AD9" w:rsidRPr="00E54FF2" w:rsidRDefault="00831AD9" w:rsidP="00E54FF2">
      <w:pPr>
        <w:pStyle w:val="Pealdis"/>
      </w:pPr>
      <w:bookmarkStart w:id="195" w:name="_Ref511649101"/>
      <w:bookmarkStart w:id="196" w:name="_Toc4502676"/>
      <w:bookmarkStart w:id="197" w:name="_Toc100230298"/>
      <w:r w:rsidRPr="00687E27">
        <w:lastRenderedPageBreak/>
        <w:t xml:space="preserve">Tabel </w:t>
      </w:r>
      <w:fldSimple w:instr=" SEQ Tabel \* ARABIC ">
        <w:r w:rsidR="000C04EE">
          <w:rPr>
            <w:noProof/>
          </w:rPr>
          <w:t>13</w:t>
        </w:r>
      </w:fldSimple>
      <w:bookmarkEnd w:id="193"/>
      <w:bookmarkEnd w:id="195"/>
      <w:r w:rsidRPr="00687E27">
        <w:t xml:space="preserve">. </w:t>
      </w:r>
      <w:r w:rsidR="00687E27" w:rsidRPr="00687E27">
        <w:t xml:space="preserve">2020. ja 2021.a tegelik riigieelarve täitmine ja </w:t>
      </w:r>
      <w:r w:rsidRPr="00687E27">
        <w:t>202</w:t>
      </w:r>
      <w:r w:rsidR="00275A5E" w:rsidRPr="00687E27">
        <w:t>2</w:t>
      </w:r>
      <w:r w:rsidRPr="00687E27">
        <w:t>.-202</w:t>
      </w:r>
      <w:r w:rsidR="00275A5E" w:rsidRPr="00687E27">
        <w:t>6</w:t>
      </w:r>
      <w:r w:rsidRPr="00687E27">
        <w:t>. aasta riigieelarve tulude prognoos</w:t>
      </w:r>
      <w:bookmarkEnd w:id="194"/>
      <w:bookmarkEnd w:id="196"/>
      <w:bookmarkEnd w:id="197"/>
    </w:p>
    <w:tbl>
      <w:tblPr>
        <w:tblStyle w:val="Peentabel1"/>
        <w:tblW w:w="10348" w:type="dxa"/>
        <w:tblLook w:val="04A0" w:firstRow="1" w:lastRow="0" w:firstColumn="1" w:lastColumn="0" w:noHBand="0" w:noVBand="1"/>
      </w:tblPr>
      <w:tblGrid>
        <w:gridCol w:w="3261"/>
        <w:gridCol w:w="1134"/>
        <w:gridCol w:w="992"/>
        <w:gridCol w:w="992"/>
        <w:gridCol w:w="992"/>
        <w:gridCol w:w="993"/>
        <w:gridCol w:w="992"/>
        <w:gridCol w:w="992"/>
      </w:tblGrid>
      <w:tr w:rsidR="00275A5E" w:rsidRPr="00687E27" w14:paraId="05E05646" w14:textId="77777777" w:rsidTr="00275A5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24714CCD" w14:textId="77777777" w:rsidR="00275A5E" w:rsidRPr="005822EA" w:rsidRDefault="00275A5E" w:rsidP="00275A5E">
            <w:pPr>
              <w:pStyle w:val="Tabelid"/>
            </w:pPr>
            <w:r w:rsidRPr="005822EA">
              <w:rPr>
                <w:b w:val="0"/>
              </w:rPr>
              <w:t> </w:t>
            </w:r>
          </w:p>
        </w:tc>
        <w:tc>
          <w:tcPr>
            <w:tcW w:w="1134" w:type="dxa"/>
          </w:tcPr>
          <w:p w14:paraId="299C1A88" w14:textId="310549E0" w:rsidR="00275A5E" w:rsidRPr="00687E27" w:rsidRDefault="00275A5E" w:rsidP="004C5163">
            <w:pPr>
              <w:pStyle w:val="Tabelid"/>
              <w:jc w:val="right"/>
              <w:cnfStyle w:val="100000000000" w:firstRow="1" w:lastRow="0" w:firstColumn="0" w:lastColumn="0" w:oddVBand="0" w:evenVBand="0" w:oddHBand="0" w:evenHBand="0" w:firstRowFirstColumn="0" w:firstRowLastColumn="0" w:lastRowFirstColumn="0" w:lastRowLastColumn="0"/>
            </w:pPr>
            <w:r w:rsidRPr="00687E27">
              <w:t>2020</w:t>
            </w:r>
          </w:p>
        </w:tc>
        <w:tc>
          <w:tcPr>
            <w:tcW w:w="992" w:type="dxa"/>
          </w:tcPr>
          <w:p w14:paraId="64B2A6E0" w14:textId="119BE14D" w:rsidR="00275A5E" w:rsidRPr="00687E27" w:rsidRDefault="00275A5E" w:rsidP="004C5163">
            <w:pPr>
              <w:pStyle w:val="Tabelid"/>
              <w:jc w:val="right"/>
              <w:cnfStyle w:val="100000000000" w:firstRow="1" w:lastRow="0" w:firstColumn="0" w:lastColumn="0" w:oddVBand="0" w:evenVBand="0" w:oddHBand="0" w:evenHBand="0" w:firstRowFirstColumn="0" w:firstRowLastColumn="0" w:lastRowFirstColumn="0" w:lastRowLastColumn="0"/>
            </w:pPr>
            <w:r w:rsidRPr="00687E27">
              <w:t>2021</w:t>
            </w:r>
          </w:p>
        </w:tc>
        <w:tc>
          <w:tcPr>
            <w:tcW w:w="992" w:type="dxa"/>
            <w:hideMark/>
          </w:tcPr>
          <w:p w14:paraId="34B8C68D" w14:textId="53B193FE" w:rsidR="00275A5E" w:rsidRPr="00687E27" w:rsidRDefault="00275A5E" w:rsidP="004C5163">
            <w:pPr>
              <w:pStyle w:val="Tabelid"/>
              <w:jc w:val="right"/>
              <w:cnfStyle w:val="100000000000" w:firstRow="1" w:lastRow="0" w:firstColumn="0" w:lastColumn="0" w:oddVBand="0" w:evenVBand="0" w:oddHBand="0" w:evenHBand="0" w:firstRowFirstColumn="0" w:firstRowLastColumn="0" w:lastRowFirstColumn="0" w:lastRowLastColumn="0"/>
            </w:pPr>
            <w:r w:rsidRPr="00687E27">
              <w:t>2022</w:t>
            </w:r>
          </w:p>
        </w:tc>
        <w:tc>
          <w:tcPr>
            <w:tcW w:w="992" w:type="dxa"/>
            <w:hideMark/>
          </w:tcPr>
          <w:p w14:paraId="2FA5EDA2" w14:textId="0C55E823" w:rsidR="00275A5E" w:rsidRPr="00687E27" w:rsidRDefault="00275A5E" w:rsidP="004C5163">
            <w:pPr>
              <w:pStyle w:val="Tabelid"/>
              <w:jc w:val="right"/>
              <w:cnfStyle w:val="100000000000" w:firstRow="1" w:lastRow="0" w:firstColumn="0" w:lastColumn="0" w:oddVBand="0" w:evenVBand="0" w:oddHBand="0" w:evenHBand="0" w:firstRowFirstColumn="0" w:firstRowLastColumn="0" w:lastRowFirstColumn="0" w:lastRowLastColumn="0"/>
            </w:pPr>
            <w:r w:rsidRPr="00687E27">
              <w:t>2023</w:t>
            </w:r>
          </w:p>
        </w:tc>
        <w:tc>
          <w:tcPr>
            <w:tcW w:w="993" w:type="dxa"/>
            <w:hideMark/>
          </w:tcPr>
          <w:p w14:paraId="0B9A3499" w14:textId="4D9982F9" w:rsidR="00275A5E" w:rsidRPr="00687E27" w:rsidRDefault="00275A5E" w:rsidP="004C5163">
            <w:pPr>
              <w:pStyle w:val="Tabelid"/>
              <w:jc w:val="right"/>
              <w:cnfStyle w:val="100000000000" w:firstRow="1" w:lastRow="0" w:firstColumn="0" w:lastColumn="0" w:oddVBand="0" w:evenVBand="0" w:oddHBand="0" w:evenHBand="0" w:firstRowFirstColumn="0" w:firstRowLastColumn="0" w:lastRowFirstColumn="0" w:lastRowLastColumn="0"/>
            </w:pPr>
            <w:r w:rsidRPr="00687E27">
              <w:t>2024</w:t>
            </w:r>
          </w:p>
        </w:tc>
        <w:tc>
          <w:tcPr>
            <w:tcW w:w="992" w:type="dxa"/>
            <w:hideMark/>
          </w:tcPr>
          <w:p w14:paraId="35E095C5" w14:textId="30507ACC" w:rsidR="00275A5E" w:rsidRPr="00687E27" w:rsidRDefault="00275A5E" w:rsidP="004C5163">
            <w:pPr>
              <w:pStyle w:val="Tabelid"/>
              <w:jc w:val="right"/>
              <w:cnfStyle w:val="100000000000" w:firstRow="1" w:lastRow="0" w:firstColumn="0" w:lastColumn="0" w:oddVBand="0" w:evenVBand="0" w:oddHBand="0" w:evenHBand="0" w:firstRowFirstColumn="0" w:firstRowLastColumn="0" w:lastRowFirstColumn="0" w:lastRowLastColumn="0"/>
            </w:pPr>
            <w:r w:rsidRPr="00687E27">
              <w:t>2025</w:t>
            </w:r>
          </w:p>
        </w:tc>
        <w:tc>
          <w:tcPr>
            <w:tcW w:w="992" w:type="dxa"/>
            <w:hideMark/>
          </w:tcPr>
          <w:p w14:paraId="03DE6549" w14:textId="4ADBA7CB" w:rsidR="00275A5E" w:rsidRPr="00687E27" w:rsidRDefault="00275A5E" w:rsidP="004C5163">
            <w:pPr>
              <w:pStyle w:val="Tabelid"/>
              <w:jc w:val="right"/>
              <w:cnfStyle w:val="100000000000" w:firstRow="1" w:lastRow="0" w:firstColumn="0" w:lastColumn="0" w:oddVBand="0" w:evenVBand="0" w:oddHBand="0" w:evenHBand="0" w:firstRowFirstColumn="0" w:firstRowLastColumn="0" w:lastRowFirstColumn="0" w:lastRowLastColumn="0"/>
            </w:pPr>
            <w:r w:rsidRPr="00687E27">
              <w:t>2026</w:t>
            </w:r>
          </w:p>
        </w:tc>
      </w:tr>
      <w:tr w:rsidR="00687E27" w:rsidRPr="00687E27" w14:paraId="4DECD145" w14:textId="77777777" w:rsidTr="00275A5E">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261" w:type="dxa"/>
            <w:hideMark/>
          </w:tcPr>
          <w:p w14:paraId="0A5A6A1D" w14:textId="77777777" w:rsidR="00687E27" w:rsidRPr="00357156" w:rsidRDefault="00687E27" w:rsidP="00687E27">
            <w:pPr>
              <w:pStyle w:val="Tabelid"/>
              <w:rPr>
                <w:bCs/>
              </w:rPr>
            </w:pPr>
            <w:r w:rsidRPr="00357156">
              <w:rPr>
                <w:bCs/>
              </w:rPr>
              <w:t>Maksud ja sotsiaalkindlustusmaksed</w:t>
            </w:r>
          </w:p>
        </w:tc>
        <w:tc>
          <w:tcPr>
            <w:tcW w:w="1134" w:type="dxa"/>
          </w:tcPr>
          <w:p w14:paraId="49A5943B" w14:textId="2A15CA70" w:rsidR="00687E27" w:rsidRPr="00357156" w:rsidRDefault="00687E27" w:rsidP="004C5163">
            <w:pPr>
              <w:pStyle w:val="Tabelid"/>
              <w:jc w:val="right"/>
              <w:cnfStyle w:val="000000100000" w:firstRow="0" w:lastRow="0" w:firstColumn="0" w:lastColumn="0" w:oddVBand="0" w:evenVBand="0" w:oddHBand="1" w:evenHBand="0" w:firstRowFirstColumn="0" w:firstRowLastColumn="0" w:lastRowFirstColumn="0" w:lastRowLastColumn="0"/>
              <w:rPr>
                <w:b/>
                <w:bCs/>
              </w:rPr>
            </w:pPr>
            <w:r w:rsidRPr="00357156">
              <w:rPr>
                <w:b/>
                <w:bCs/>
              </w:rPr>
              <w:t>7 68</w:t>
            </w:r>
            <w:r w:rsidR="00084360">
              <w:rPr>
                <w:b/>
                <w:bCs/>
              </w:rPr>
              <w:t>2</w:t>
            </w:r>
          </w:p>
        </w:tc>
        <w:tc>
          <w:tcPr>
            <w:tcW w:w="992" w:type="dxa"/>
          </w:tcPr>
          <w:p w14:paraId="70347006" w14:textId="37AABC7B" w:rsidR="00687E27" w:rsidRPr="00357156"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rPr>
                <w:b/>
                <w:bCs/>
              </w:rPr>
            </w:pPr>
            <w:r>
              <w:rPr>
                <w:b/>
                <w:bCs/>
              </w:rPr>
              <w:t>10 788</w:t>
            </w:r>
          </w:p>
        </w:tc>
        <w:tc>
          <w:tcPr>
            <w:tcW w:w="992" w:type="dxa"/>
          </w:tcPr>
          <w:p w14:paraId="26BA9928" w14:textId="2742FF82" w:rsidR="00687E27" w:rsidRPr="00357156"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rPr>
                <w:b/>
                <w:bCs/>
              </w:rPr>
            </w:pPr>
            <w:r>
              <w:rPr>
                <w:b/>
                <w:bCs/>
              </w:rPr>
              <w:t>11 158</w:t>
            </w:r>
          </w:p>
        </w:tc>
        <w:tc>
          <w:tcPr>
            <w:tcW w:w="992" w:type="dxa"/>
          </w:tcPr>
          <w:p w14:paraId="5F925A7D" w14:textId="2C04FC7F" w:rsidR="00687E27" w:rsidRPr="00357156"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rPr>
                <w:b/>
                <w:bCs/>
              </w:rPr>
            </w:pPr>
            <w:r>
              <w:rPr>
                <w:b/>
                <w:bCs/>
              </w:rPr>
              <w:t>11 413</w:t>
            </w:r>
          </w:p>
        </w:tc>
        <w:tc>
          <w:tcPr>
            <w:tcW w:w="993" w:type="dxa"/>
          </w:tcPr>
          <w:p w14:paraId="0CA647C7" w14:textId="62F4C7CE" w:rsidR="00687E27" w:rsidRPr="00357156"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rPr>
                <w:b/>
                <w:bCs/>
              </w:rPr>
            </w:pPr>
            <w:r>
              <w:rPr>
                <w:b/>
                <w:bCs/>
              </w:rPr>
              <w:t>11 997</w:t>
            </w:r>
          </w:p>
        </w:tc>
        <w:tc>
          <w:tcPr>
            <w:tcW w:w="992" w:type="dxa"/>
          </w:tcPr>
          <w:p w14:paraId="621C5304" w14:textId="5444A497" w:rsidR="00687E27" w:rsidRPr="00357156"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rPr>
                <w:b/>
                <w:bCs/>
              </w:rPr>
            </w:pPr>
            <w:r>
              <w:rPr>
                <w:b/>
                <w:bCs/>
              </w:rPr>
              <w:t>12 561</w:t>
            </w:r>
          </w:p>
        </w:tc>
        <w:tc>
          <w:tcPr>
            <w:tcW w:w="992" w:type="dxa"/>
          </w:tcPr>
          <w:p w14:paraId="73A9A35B" w14:textId="711AF1BB" w:rsidR="00687E27" w:rsidRPr="00357156"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rPr>
                <w:b/>
                <w:bCs/>
              </w:rPr>
            </w:pPr>
            <w:r>
              <w:rPr>
                <w:b/>
                <w:bCs/>
              </w:rPr>
              <w:t>13 078</w:t>
            </w:r>
          </w:p>
        </w:tc>
      </w:tr>
      <w:tr w:rsidR="00687E27" w:rsidRPr="00687E27" w14:paraId="23D2BC24" w14:textId="77777777" w:rsidTr="00275A5E">
        <w:trPr>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11251D9C" w14:textId="77777777" w:rsidR="00687E27" w:rsidRPr="00357156" w:rsidRDefault="00687E27" w:rsidP="00687E27">
            <w:pPr>
              <w:pStyle w:val="Tabelid"/>
              <w:rPr>
                <w:b w:val="0"/>
              </w:rPr>
            </w:pPr>
            <w:r w:rsidRPr="00357156">
              <w:rPr>
                <w:b w:val="0"/>
              </w:rPr>
              <w:t>Füüsilise isiku tulumaks</w:t>
            </w:r>
          </w:p>
        </w:tc>
        <w:tc>
          <w:tcPr>
            <w:tcW w:w="1134" w:type="dxa"/>
          </w:tcPr>
          <w:p w14:paraId="57ED9F78" w14:textId="31C9E53E" w:rsidR="00687E27" w:rsidRPr="00687E27" w:rsidRDefault="00687E27" w:rsidP="004C5163">
            <w:pPr>
              <w:pStyle w:val="Tabelid"/>
              <w:jc w:val="right"/>
              <w:cnfStyle w:val="000000000000" w:firstRow="0" w:lastRow="0" w:firstColumn="0" w:lastColumn="0" w:oddVBand="0" w:evenVBand="0" w:oddHBand="0" w:evenHBand="0" w:firstRowFirstColumn="0" w:firstRowLastColumn="0" w:lastRowFirstColumn="0" w:lastRowLastColumn="0"/>
            </w:pPr>
            <w:r w:rsidRPr="00687E27">
              <w:t>390</w:t>
            </w:r>
          </w:p>
        </w:tc>
        <w:tc>
          <w:tcPr>
            <w:tcW w:w="992" w:type="dxa"/>
          </w:tcPr>
          <w:p w14:paraId="520BA877" w14:textId="69FB9BC5" w:rsidR="00687E27"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t>791</w:t>
            </w:r>
          </w:p>
        </w:tc>
        <w:tc>
          <w:tcPr>
            <w:tcW w:w="992" w:type="dxa"/>
          </w:tcPr>
          <w:p w14:paraId="244AD053" w14:textId="64E96754" w:rsidR="00687E27"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t>663</w:t>
            </w:r>
          </w:p>
        </w:tc>
        <w:tc>
          <w:tcPr>
            <w:tcW w:w="992" w:type="dxa"/>
          </w:tcPr>
          <w:p w14:paraId="6526B3A0" w14:textId="749A672E" w:rsidR="00687E27"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t>552</w:t>
            </w:r>
          </w:p>
        </w:tc>
        <w:tc>
          <w:tcPr>
            <w:tcW w:w="993" w:type="dxa"/>
          </w:tcPr>
          <w:p w14:paraId="18C5F92A" w14:textId="678A04B9" w:rsidR="00687E27"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t>587</w:t>
            </w:r>
          </w:p>
        </w:tc>
        <w:tc>
          <w:tcPr>
            <w:tcW w:w="992" w:type="dxa"/>
          </w:tcPr>
          <w:p w14:paraId="7DF47348" w14:textId="0C488886" w:rsidR="00687E27"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t>637</w:t>
            </w:r>
          </w:p>
        </w:tc>
        <w:tc>
          <w:tcPr>
            <w:tcW w:w="992" w:type="dxa"/>
          </w:tcPr>
          <w:p w14:paraId="25F785BF" w14:textId="5BB0F356" w:rsidR="00687E27"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t>683</w:t>
            </w:r>
          </w:p>
        </w:tc>
      </w:tr>
      <w:tr w:rsidR="00687E27" w:rsidRPr="00687E27" w14:paraId="44B1599E" w14:textId="77777777" w:rsidTr="00275A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66887D0E" w14:textId="77777777" w:rsidR="00687E27" w:rsidRPr="00357156" w:rsidRDefault="00687E27" w:rsidP="00687E27">
            <w:pPr>
              <w:pStyle w:val="Tabelid"/>
              <w:rPr>
                <w:b w:val="0"/>
              </w:rPr>
            </w:pPr>
            <w:r w:rsidRPr="00357156">
              <w:rPr>
                <w:b w:val="0"/>
              </w:rPr>
              <w:t>Juriidilise isiku tulumaks</w:t>
            </w:r>
          </w:p>
        </w:tc>
        <w:tc>
          <w:tcPr>
            <w:tcW w:w="1134" w:type="dxa"/>
          </w:tcPr>
          <w:p w14:paraId="1D3262F8" w14:textId="6C05912B" w:rsidR="00687E27" w:rsidRPr="00687E27" w:rsidRDefault="00687E27" w:rsidP="004C5163">
            <w:pPr>
              <w:pStyle w:val="Tabelid"/>
              <w:jc w:val="right"/>
              <w:cnfStyle w:val="000000100000" w:firstRow="0" w:lastRow="0" w:firstColumn="0" w:lastColumn="0" w:oddVBand="0" w:evenVBand="0" w:oddHBand="1" w:evenHBand="0" w:firstRowFirstColumn="0" w:firstRowLastColumn="0" w:lastRowFirstColumn="0" w:lastRowLastColumn="0"/>
            </w:pPr>
            <w:r w:rsidRPr="00687E27">
              <w:t>4</w:t>
            </w:r>
            <w:r w:rsidR="00084360">
              <w:t>50</w:t>
            </w:r>
          </w:p>
        </w:tc>
        <w:tc>
          <w:tcPr>
            <w:tcW w:w="992" w:type="dxa"/>
          </w:tcPr>
          <w:p w14:paraId="310B989D" w14:textId="44BF2198" w:rsidR="00687E27"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t>481</w:t>
            </w:r>
          </w:p>
        </w:tc>
        <w:tc>
          <w:tcPr>
            <w:tcW w:w="992" w:type="dxa"/>
          </w:tcPr>
          <w:p w14:paraId="24EA94AE" w14:textId="6730EC4B" w:rsidR="00687E27"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t>503</w:t>
            </w:r>
          </w:p>
        </w:tc>
        <w:tc>
          <w:tcPr>
            <w:tcW w:w="992" w:type="dxa"/>
          </w:tcPr>
          <w:p w14:paraId="5656A24A" w14:textId="7F600F99" w:rsidR="00687E27"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t>508</w:t>
            </w:r>
          </w:p>
        </w:tc>
        <w:tc>
          <w:tcPr>
            <w:tcW w:w="993" w:type="dxa"/>
          </w:tcPr>
          <w:p w14:paraId="549CCADF" w14:textId="261A204B" w:rsidR="00687E27"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t>541</w:t>
            </w:r>
          </w:p>
        </w:tc>
        <w:tc>
          <w:tcPr>
            <w:tcW w:w="992" w:type="dxa"/>
          </w:tcPr>
          <w:p w14:paraId="1E1FAC9F" w14:textId="0402F636" w:rsidR="00687E27"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t>571</w:t>
            </w:r>
          </w:p>
        </w:tc>
        <w:tc>
          <w:tcPr>
            <w:tcW w:w="992" w:type="dxa"/>
          </w:tcPr>
          <w:p w14:paraId="402E20E9" w14:textId="11EF4AFF" w:rsidR="00687E27"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t>589</w:t>
            </w:r>
          </w:p>
        </w:tc>
      </w:tr>
      <w:tr w:rsidR="00687E27" w:rsidRPr="00687E27" w14:paraId="0AADAC97" w14:textId="77777777" w:rsidTr="00275A5E">
        <w:trPr>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62C7ED78" w14:textId="77777777" w:rsidR="00687E27" w:rsidRPr="00357156" w:rsidRDefault="00687E27" w:rsidP="00687E27">
            <w:pPr>
              <w:pStyle w:val="Tabelid"/>
              <w:rPr>
                <w:b w:val="0"/>
              </w:rPr>
            </w:pPr>
            <w:r w:rsidRPr="00357156">
              <w:rPr>
                <w:b w:val="0"/>
              </w:rPr>
              <w:t>Sotsiaalmaks</w:t>
            </w:r>
          </w:p>
        </w:tc>
        <w:tc>
          <w:tcPr>
            <w:tcW w:w="1134" w:type="dxa"/>
          </w:tcPr>
          <w:p w14:paraId="2AEE0417" w14:textId="0EB031E9" w:rsidR="00687E27" w:rsidRPr="00687E27" w:rsidRDefault="00687E27" w:rsidP="004C5163">
            <w:pPr>
              <w:pStyle w:val="Tabelid"/>
              <w:jc w:val="right"/>
              <w:cnfStyle w:val="000000000000" w:firstRow="0" w:lastRow="0" w:firstColumn="0" w:lastColumn="0" w:oddVBand="0" w:evenVBand="0" w:oddHBand="0" w:evenHBand="0" w:firstRowFirstColumn="0" w:firstRowLastColumn="0" w:lastRowFirstColumn="0" w:lastRowLastColumn="0"/>
            </w:pPr>
            <w:r w:rsidRPr="00687E27">
              <w:t>3 43</w:t>
            </w:r>
            <w:r w:rsidR="00084360">
              <w:t>1</w:t>
            </w:r>
          </w:p>
        </w:tc>
        <w:tc>
          <w:tcPr>
            <w:tcW w:w="992" w:type="dxa"/>
          </w:tcPr>
          <w:p w14:paraId="081FA4A0" w14:textId="03284B9D" w:rsidR="00687E27"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t>3 732</w:t>
            </w:r>
          </w:p>
        </w:tc>
        <w:tc>
          <w:tcPr>
            <w:tcW w:w="992" w:type="dxa"/>
          </w:tcPr>
          <w:p w14:paraId="40FB3F6E" w14:textId="00955002" w:rsidR="00687E27"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t>3 928</w:t>
            </w:r>
          </w:p>
        </w:tc>
        <w:tc>
          <w:tcPr>
            <w:tcW w:w="992" w:type="dxa"/>
          </w:tcPr>
          <w:p w14:paraId="01BD265F" w14:textId="2AB4E571" w:rsidR="00687E27"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t>4 087</w:t>
            </w:r>
          </w:p>
        </w:tc>
        <w:tc>
          <w:tcPr>
            <w:tcW w:w="993" w:type="dxa"/>
          </w:tcPr>
          <w:p w14:paraId="5075C1F5" w14:textId="6B7A5695" w:rsidR="00687E27"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t>4 314</w:t>
            </w:r>
          </w:p>
        </w:tc>
        <w:tc>
          <w:tcPr>
            <w:tcW w:w="992" w:type="dxa"/>
          </w:tcPr>
          <w:p w14:paraId="509EBDBB" w14:textId="536A346F" w:rsidR="00687E27"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t>4 536</w:t>
            </w:r>
          </w:p>
        </w:tc>
        <w:tc>
          <w:tcPr>
            <w:tcW w:w="992" w:type="dxa"/>
          </w:tcPr>
          <w:p w14:paraId="74E184B9" w14:textId="67C5F8C9" w:rsidR="00687E27"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t>4 765</w:t>
            </w:r>
          </w:p>
        </w:tc>
      </w:tr>
      <w:tr w:rsidR="00687E27" w:rsidRPr="00687E27" w14:paraId="5CB38FB7" w14:textId="77777777" w:rsidTr="00275A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43C2C83D" w14:textId="77777777" w:rsidR="00687E27" w:rsidRPr="00357156" w:rsidRDefault="00687E27" w:rsidP="00687E27">
            <w:pPr>
              <w:pStyle w:val="Tabelid"/>
              <w:rPr>
                <w:b w:val="0"/>
              </w:rPr>
            </w:pPr>
            <w:r w:rsidRPr="00357156">
              <w:rPr>
                <w:b w:val="0"/>
              </w:rPr>
              <w:t>Raskeveokimaks</w:t>
            </w:r>
          </w:p>
        </w:tc>
        <w:tc>
          <w:tcPr>
            <w:tcW w:w="1134" w:type="dxa"/>
          </w:tcPr>
          <w:p w14:paraId="2288AC85" w14:textId="12A5A5FE" w:rsidR="00687E27" w:rsidRPr="00687E27" w:rsidRDefault="00687E27" w:rsidP="004C5163">
            <w:pPr>
              <w:pStyle w:val="Tabelid"/>
              <w:jc w:val="right"/>
              <w:cnfStyle w:val="000000100000" w:firstRow="0" w:lastRow="0" w:firstColumn="0" w:lastColumn="0" w:oddVBand="0" w:evenVBand="0" w:oddHBand="1" w:evenHBand="0" w:firstRowFirstColumn="0" w:firstRowLastColumn="0" w:lastRowFirstColumn="0" w:lastRowLastColumn="0"/>
            </w:pPr>
            <w:r w:rsidRPr="00687E27">
              <w:t>5</w:t>
            </w:r>
            <w:r w:rsidR="00084360">
              <w:t>,0</w:t>
            </w:r>
          </w:p>
        </w:tc>
        <w:tc>
          <w:tcPr>
            <w:tcW w:w="992" w:type="dxa"/>
          </w:tcPr>
          <w:p w14:paraId="704F346B" w14:textId="45961F79" w:rsidR="00687E27"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t>5,0</w:t>
            </w:r>
          </w:p>
        </w:tc>
        <w:tc>
          <w:tcPr>
            <w:tcW w:w="992" w:type="dxa"/>
          </w:tcPr>
          <w:p w14:paraId="299ADF5D" w14:textId="4C9A234A" w:rsidR="00687E27"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t>5,0</w:t>
            </w:r>
          </w:p>
        </w:tc>
        <w:tc>
          <w:tcPr>
            <w:tcW w:w="992" w:type="dxa"/>
          </w:tcPr>
          <w:p w14:paraId="3577BB3E" w14:textId="5DB8A257" w:rsidR="00687E27"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t>5,0</w:t>
            </w:r>
          </w:p>
        </w:tc>
        <w:tc>
          <w:tcPr>
            <w:tcW w:w="993" w:type="dxa"/>
          </w:tcPr>
          <w:p w14:paraId="4D5705CD" w14:textId="67F7D95D" w:rsidR="00687E27"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t>5,0</w:t>
            </w:r>
          </w:p>
        </w:tc>
        <w:tc>
          <w:tcPr>
            <w:tcW w:w="992" w:type="dxa"/>
          </w:tcPr>
          <w:p w14:paraId="1E865FDE" w14:textId="57B2B74D" w:rsidR="00687E27"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t>5,0</w:t>
            </w:r>
          </w:p>
        </w:tc>
        <w:tc>
          <w:tcPr>
            <w:tcW w:w="992" w:type="dxa"/>
          </w:tcPr>
          <w:p w14:paraId="24188BAF" w14:textId="6004A346" w:rsidR="00687E27"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t>5,0</w:t>
            </w:r>
          </w:p>
        </w:tc>
      </w:tr>
      <w:tr w:rsidR="00687E27" w:rsidRPr="00687E27" w14:paraId="7D5C0460" w14:textId="77777777" w:rsidTr="00275A5E">
        <w:trPr>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6F9D42D5" w14:textId="77777777" w:rsidR="00687E27" w:rsidRPr="00357156" w:rsidRDefault="00687E27" w:rsidP="00687E27">
            <w:pPr>
              <w:pStyle w:val="Tabelid"/>
              <w:rPr>
                <w:b w:val="0"/>
              </w:rPr>
            </w:pPr>
            <w:r w:rsidRPr="00357156">
              <w:rPr>
                <w:b w:val="0"/>
              </w:rPr>
              <w:t>Käibemaks</w:t>
            </w:r>
          </w:p>
        </w:tc>
        <w:tc>
          <w:tcPr>
            <w:tcW w:w="1134" w:type="dxa"/>
          </w:tcPr>
          <w:p w14:paraId="7F19E008" w14:textId="1A38EE99" w:rsidR="00687E27" w:rsidRPr="00687E27" w:rsidRDefault="00687E27" w:rsidP="004C5163">
            <w:pPr>
              <w:pStyle w:val="Tabelid"/>
              <w:jc w:val="right"/>
              <w:cnfStyle w:val="000000000000" w:firstRow="0" w:lastRow="0" w:firstColumn="0" w:lastColumn="0" w:oddVBand="0" w:evenVBand="0" w:oddHBand="0" w:evenHBand="0" w:firstRowFirstColumn="0" w:firstRowLastColumn="0" w:lastRowFirstColumn="0" w:lastRowLastColumn="0"/>
            </w:pPr>
            <w:r w:rsidRPr="00687E27">
              <w:t>2 43</w:t>
            </w:r>
            <w:r w:rsidR="00084360">
              <w:t>9</w:t>
            </w:r>
          </w:p>
        </w:tc>
        <w:tc>
          <w:tcPr>
            <w:tcW w:w="992" w:type="dxa"/>
          </w:tcPr>
          <w:p w14:paraId="1EB4A073" w14:textId="290E1421" w:rsidR="00687E27"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t>2 877</w:t>
            </w:r>
          </w:p>
        </w:tc>
        <w:tc>
          <w:tcPr>
            <w:tcW w:w="992" w:type="dxa"/>
          </w:tcPr>
          <w:p w14:paraId="127C13E7" w14:textId="597D59A9" w:rsidR="00687E27"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t>3 088</w:t>
            </w:r>
          </w:p>
        </w:tc>
        <w:tc>
          <w:tcPr>
            <w:tcW w:w="992" w:type="dxa"/>
          </w:tcPr>
          <w:p w14:paraId="3D143A44" w14:textId="06B044CE" w:rsidR="00687E27"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t>3 192</w:t>
            </w:r>
          </w:p>
        </w:tc>
        <w:tc>
          <w:tcPr>
            <w:tcW w:w="993" w:type="dxa"/>
          </w:tcPr>
          <w:p w14:paraId="4C0C2921" w14:textId="6118B668" w:rsidR="00687E27"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t>3 335</w:t>
            </w:r>
          </w:p>
        </w:tc>
        <w:tc>
          <w:tcPr>
            <w:tcW w:w="992" w:type="dxa"/>
          </w:tcPr>
          <w:p w14:paraId="0992BC72" w14:textId="695FA9BA" w:rsidR="00687E27"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t>3 454</w:t>
            </w:r>
          </w:p>
        </w:tc>
        <w:tc>
          <w:tcPr>
            <w:tcW w:w="992" w:type="dxa"/>
          </w:tcPr>
          <w:p w14:paraId="5D5412A4" w14:textId="096D8B91" w:rsidR="00687E27"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t>3 525</w:t>
            </w:r>
          </w:p>
        </w:tc>
      </w:tr>
      <w:tr w:rsidR="00687E27" w:rsidRPr="00687E27" w14:paraId="0A5F8718" w14:textId="77777777" w:rsidTr="00275A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4E20DF2B" w14:textId="77777777" w:rsidR="00687E27" w:rsidRPr="00357156" w:rsidRDefault="00687E27" w:rsidP="00687E27">
            <w:pPr>
              <w:pStyle w:val="Tabelid"/>
              <w:rPr>
                <w:b w:val="0"/>
              </w:rPr>
            </w:pPr>
            <w:r w:rsidRPr="00357156">
              <w:rPr>
                <w:b w:val="0"/>
              </w:rPr>
              <w:t>Aktsiisid</w:t>
            </w:r>
          </w:p>
        </w:tc>
        <w:tc>
          <w:tcPr>
            <w:tcW w:w="1134" w:type="dxa"/>
          </w:tcPr>
          <w:p w14:paraId="5E1E5E0B" w14:textId="7212E353" w:rsidR="00687E27" w:rsidRPr="00687E27" w:rsidRDefault="00687E27" w:rsidP="004C5163">
            <w:pPr>
              <w:pStyle w:val="Tabelid"/>
              <w:jc w:val="right"/>
              <w:cnfStyle w:val="000000100000" w:firstRow="0" w:lastRow="0" w:firstColumn="0" w:lastColumn="0" w:oddVBand="0" w:evenVBand="0" w:oddHBand="1" w:evenHBand="0" w:firstRowFirstColumn="0" w:firstRowLastColumn="0" w:lastRowFirstColumn="0" w:lastRowLastColumn="0"/>
            </w:pPr>
            <w:r w:rsidRPr="00687E27">
              <w:t>897</w:t>
            </w:r>
          </w:p>
        </w:tc>
        <w:tc>
          <w:tcPr>
            <w:tcW w:w="992" w:type="dxa"/>
          </w:tcPr>
          <w:p w14:paraId="4E0ABBA4" w14:textId="6003743E" w:rsidR="00687E27"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t>981</w:t>
            </w:r>
          </w:p>
        </w:tc>
        <w:tc>
          <w:tcPr>
            <w:tcW w:w="992" w:type="dxa"/>
          </w:tcPr>
          <w:p w14:paraId="0CCD4EC9" w14:textId="0E503DAC" w:rsidR="00687E27"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t>971</w:t>
            </w:r>
          </w:p>
        </w:tc>
        <w:tc>
          <w:tcPr>
            <w:tcW w:w="992" w:type="dxa"/>
          </w:tcPr>
          <w:p w14:paraId="3B541E15" w14:textId="547B5254" w:rsidR="00687E27"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t>995</w:t>
            </w:r>
          </w:p>
        </w:tc>
        <w:tc>
          <w:tcPr>
            <w:tcW w:w="993" w:type="dxa"/>
          </w:tcPr>
          <w:p w14:paraId="2512D3C9" w14:textId="250D3284" w:rsidR="00687E27"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t>1 039</w:t>
            </w:r>
          </w:p>
        </w:tc>
        <w:tc>
          <w:tcPr>
            <w:tcW w:w="992" w:type="dxa"/>
          </w:tcPr>
          <w:p w14:paraId="5E539CC9" w14:textId="3564A935" w:rsidR="00687E27"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t>1 078</w:t>
            </w:r>
          </w:p>
        </w:tc>
        <w:tc>
          <w:tcPr>
            <w:tcW w:w="992" w:type="dxa"/>
          </w:tcPr>
          <w:p w14:paraId="48B2B1E5" w14:textId="70604EF9" w:rsidR="00687E27"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t>1 123</w:t>
            </w:r>
          </w:p>
        </w:tc>
      </w:tr>
      <w:tr w:rsidR="00084360" w:rsidRPr="00687E27" w14:paraId="0F388C58" w14:textId="77777777" w:rsidTr="00275A5E">
        <w:trPr>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0DCE6296" w14:textId="77777777" w:rsidR="00084360" w:rsidRPr="00357156" w:rsidRDefault="00084360" w:rsidP="00084360">
            <w:pPr>
              <w:pStyle w:val="Tabelid"/>
              <w:rPr>
                <w:b w:val="0"/>
              </w:rPr>
            </w:pPr>
            <w:r w:rsidRPr="00357156">
              <w:rPr>
                <w:b w:val="0"/>
              </w:rPr>
              <w:t xml:space="preserve">    Alkoholiaktsiis</w:t>
            </w:r>
          </w:p>
        </w:tc>
        <w:tc>
          <w:tcPr>
            <w:tcW w:w="1134" w:type="dxa"/>
          </w:tcPr>
          <w:p w14:paraId="41A8D72E" w14:textId="1791B4C2" w:rsidR="00084360"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rsidRPr="00687E27">
              <w:t>211</w:t>
            </w:r>
          </w:p>
        </w:tc>
        <w:tc>
          <w:tcPr>
            <w:tcW w:w="992" w:type="dxa"/>
          </w:tcPr>
          <w:p w14:paraId="0553CC84" w14:textId="522799DD" w:rsidR="00084360"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rsidRPr="002F251B">
              <w:t>223</w:t>
            </w:r>
          </w:p>
        </w:tc>
        <w:tc>
          <w:tcPr>
            <w:tcW w:w="992" w:type="dxa"/>
          </w:tcPr>
          <w:p w14:paraId="7AD99E65" w14:textId="54468ABA" w:rsidR="00084360"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rsidRPr="002F251B">
              <w:t>222</w:t>
            </w:r>
          </w:p>
        </w:tc>
        <w:tc>
          <w:tcPr>
            <w:tcW w:w="992" w:type="dxa"/>
          </w:tcPr>
          <w:p w14:paraId="099E7C9C" w14:textId="3144DA70" w:rsidR="00084360"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rsidRPr="002F251B">
              <w:t>229</w:t>
            </w:r>
          </w:p>
        </w:tc>
        <w:tc>
          <w:tcPr>
            <w:tcW w:w="993" w:type="dxa"/>
          </w:tcPr>
          <w:p w14:paraId="201F2026" w14:textId="397CBE80" w:rsidR="00084360"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rsidRPr="002F251B">
              <w:t>233</w:t>
            </w:r>
          </w:p>
        </w:tc>
        <w:tc>
          <w:tcPr>
            <w:tcW w:w="992" w:type="dxa"/>
          </w:tcPr>
          <w:p w14:paraId="65212379" w14:textId="01A4F6BE" w:rsidR="00084360"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rsidRPr="002F251B">
              <w:t>235</w:t>
            </w:r>
          </w:p>
        </w:tc>
        <w:tc>
          <w:tcPr>
            <w:tcW w:w="992" w:type="dxa"/>
          </w:tcPr>
          <w:p w14:paraId="435AD8B6" w14:textId="309A7A04" w:rsidR="00084360"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rsidRPr="002F251B">
              <w:t>236</w:t>
            </w:r>
          </w:p>
        </w:tc>
      </w:tr>
      <w:tr w:rsidR="00084360" w:rsidRPr="00687E27" w14:paraId="55927486" w14:textId="77777777" w:rsidTr="00275A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076CD7BA" w14:textId="77777777" w:rsidR="00084360" w:rsidRPr="00357156" w:rsidRDefault="00084360" w:rsidP="00084360">
            <w:pPr>
              <w:pStyle w:val="Tabelid"/>
              <w:rPr>
                <w:b w:val="0"/>
              </w:rPr>
            </w:pPr>
            <w:r w:rsidRPr="00357156">
              <w:rPr>
                <w:b w:val="0"/>
              </w:rPr>
              <w:t xml:space="preserve">    Tubakaaktsiis</w:t>
            </w:r>
          </w:p>
        </w:tc>
        <w:tc>
          <w:tcPr>
            <w:tcW w:w="1134" w:type="dxa"/>
          </w:tcPr>
          <w:p w14:paraId="759CA02E" w14:textId="3C7878C7" w:rsidR="00084360"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rsidRPr="00687E27">
              <w:t>23</w:t>
            </w:r>
            <w:r>
              <w:t>1</w:t>
            </w:r>
          </w:p>
        </w:tc>
        <w:tc>
          <w:tcPr>
            <w:tcW w:w="992" w:type="dxa"/>
          </w:tcPr>
          <w:p w14:paraId="14BA0BF6" w14:textId="3147BEA0" w:rsidR="00084360"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rsidRPr="002F251B">
              <w:t>242</w:t>
            </w:r>
          </w:p>
        </w:tc>
        <w:tc>
          <w:tcPr>
            <w:tcW w:w="992" w:type="dxa"/>
          </w:tcPr>
          <w:p w14:paraId="40698A99" w14:textId="2868D6EE" w:rsidR="00084360"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rsidRPr="002F251B">
              <w:t>247</w:t>
            </w:r>
          </w:p>
        </w:tc>
        <w:tc>
          <w:tcPr>
            <w:tcW w:w="992" w:type="dxa"/>
          </w:tcPr>
          <w:p w14:paraId="2BF6EC32" w14:textId="590A3FA4" w:rsidR="00084360"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rsidRPr="002F251B">
              <w:t>252</w:t>
            </w:r>
          </w:p>
        </w:tc>
        <w:tc>
          <w:tcPr>
            <w:tcW w:w="993" w:type="dxa"/>
          </w:tcPr>
          <w:p w14:paraId="3AD0011F" w14:textId="79384A3B" w:rsidR="00084360"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rsidRPr="002F251B">
              <w:t>250</w:t>
            </w:r>
          </w:p>
        </w:tc>
        <w:tc>
          <w:tcPr>
            <w:tcW w:w="992" w:type="dxa"/>
          </w:tcPr>
          <w:p w14:paraId="58C7DCA0" w14:textId="7F84C53F" w:rsidR="00084360"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rsidRPr="002F251B">
              <w:t>248</w:t>
            </w:r>
          </w:p>
        </w:tc>
        <w:tc>
          <w:tcPr>
            <w:tcW w:w="992" w:type="dxa"/>
          </w:tcPr>
          <w:p w14:paraId="0667C237" w14:textId="238FFFFE" w:rsidR="00084360"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rsidRPr="002F251B">
              <w:t>246</w:t>
            </w:r>
          </w:p>
        </w:tc>
      </w:tr>
      <w:tr w:rsidR="00084360" w:rsidRPr="00687E27" w14:paraId="750902C6" w14:textId="77777777" w:rsidTr="00275A5E">
        <w:trPr>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6E8D0986" w14:textId="77777777" w:rsidR="00084360" w:rsidRPr="00357156" w:rsidRDefault="00084360" w:rsidP="00084360">
            <w:pPr>
              <w:pStyle w:val="Tabelid"/>
              <w:rPr>
                <w:b w:val="0"/>
              </w:rPr>
            </w:pPr>
            <w:r w:rsidRPr="00357156">
              <w:rPr>
                <w:b w:val="0"/>
              </w:rPr>
              <w:t xml:space="preserve">    Kütuseaktsiis</w:t>
            </w:r>
          </w:p>
        </w:tc>
        <w:tc>
          <w:tcPr>
            <w:tcW w:w="1134" w:type="dxa"/>
          </w:tcPr>
          <w:p w14:paraId="33B35982" w14:textId="40C48F7C" w:rsidR="00084360"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rsidRPr="00687E27">
              <w:t>437</w:t>
            </w:r>
          </w:p>
        </w:tc>
        <w:tc>
          <w:tcPr>
            <w:tcW w:w="992" w:type="dxa"/>
          </w:tcPr>
          <w:p w14:paraId="027DA593" w14:textId="665C81B9" w:rsidR="00084360"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rsidRPr="002F251B">
              <w:t>507</w:t>
            </w:r>
          </w:p>
        </w:tc>
        <w:tc>
          <w:tcPr>
            <w:tcW w:w="992" w:type="dxa"/>
          </w:tcPr>
          <w:p w14:paraId="2945A79C" w14:textId="05E976DE" w:rsidR="00084360"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rsidRPr="002F251B">
              <w:t>494</w:t>
            </w:r>
          </w:p>
        </w:tc>
        <w:tc>
          <w:tcPr>
            <w:tcW w:w="992" w:type="dxa"/>
          </w:tcPr>
          <w:p w14:paraId="703BCFC8" w14:textId="6881E243" w:rsidR="00084360"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rsidRPr="002F251B">
              <w:t>502</w:t>
            </w:r>
          </w:p>
        </w:tc>
        <w:tc>
          <w:tcPr>
            <w:tcW w:w="993" w:type="dxa"/>
          </w:tcPr>
          <w:p w14:paraId="419F20C5" w14:textId="59D20658" w:rsidR="00084360"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rsidRPr="002F251B">
              <w:t>539</w:t>
            </w:r>
          </w:p>
        </w:tc>
        <w:tc>
          <w:tcPr>
            <w:tcW w:w="992" w:type="dxa"/>
          </w:tcPr>
          <w:p w14:paraId="10B8FBD0" w14:textId="694A4E49" w:rsidR="00084360"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rsidRPr="002F251B">
              <w:t>571</w:t>
            </w:r>
          </w:p>
        </w:tc>
        <w:tc>
          <w:tcPr>
            <w:tcW w:w="992" w:type="dxa"/>
          </w:tcPr>
          <w:p w14:paraId="23A110AA" w14:textId="62AA2B12" w:rsidR="00084360"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rsidRPr="002F251B">
              <w:t>606</w:t>
            </w:r>
          </w:p>
        </w:tc>
      </w:tr>
      <w:tr w:rsidR="00084360" w:rsidRPr="00687E27" w14:paraId="2D0F764F" w14:textId="77777777" w:rsidTr="00275A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75BC6EE5" w14:textId="77777777" w:rsidR="00084360" w:rsidRPr="00357156" w:rsidRDefault="00084360" w:rsidP="00084360">
            <w:pPr>
              <w:pStyle w:val="Tabelid"/>
              <w:rPr>
                <w:b w:val="0"/>
              </w:rPr>
            </w:pPr>
            <w:r w:rsidRPr="00357156">
              <w:rPr>
                <w:b w:val="0"/>
              </w:rPr>
              <w:t xml:space="preserve">    Pakendiaktsiis</w:t>
            </w:r>
          </w:p>
        </w:tc>
        <w:tc>
          <w:tcPr>
            <w:tcW w:w="1134" w:type="dxa"/>
          </w:tcPr>
          <w:p w14:paraId="58F748E4" w14:textId="47E60FD8" w:rsidR="00084360"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rsidRPr="00687E27">
              <w:t>0,4</w:t>
            </w:r>
          </w:p>
        </w:tc>
        <w:tc>
          <w:tcPr>
            <w:tcW w:w="992" w:type="dxa"/>
          </w:tcPr>
          <w:p w14:paraId="21B43CDB" w14:textId="3543489A" w:rsidR="00084360"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rsidRPr="002F251B">
              <w:t>0</w:t>
            </w:r>
          </w:p>
        </w:tc>
        <w:tc>
          <w:tcPr>
            <w:tcW w:w="992" w:type="dxa"/>
          </w:tcPr>
          <w:p w14:paraId="1A8F51DC" w14:textId="71450778" w:rsidR="00084360"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rsidRPr="002F251B">
              <w:t>0</w:t>
            </w:r>
          </w:p>
        </w:tc>
        <w:tc>
          <w:tcPr>
            <w:tcW w:w="992" w:type="dxa"/>
          </w:tcPr>
          <w:p w14:paraId="07443686" w14:textId="003C8A66" w:rsidR="00084360"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rsidRPr="002F251B">
              <w:t>0</w:t>
            </w:r>
          </w:p>
        </w:tc>
        <w:tc>
          <w:tcPr>
            <w:tcW w:w="993" w:type="dxa"/>
          </w:tcPr>
          <w:p w14:paraId="5EEC5EBC" w14:textId="2D960BA6" w:rsidR="00084360"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rsidRPr="002F251B">
              <w:t>0</w:t>
            </w:r>
          </w:p>
        </w:tc>
        <w:tc>
          <w:tcPr>
            <w:tcW w:w="992" w:type="dxa"/>
          </w:tcPr>
          <w:p w14:paraId="2CFB4B02" w14:textId="7049B9AB" w:rsidR="00084360"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rsidRPr="002F251B">
              <w:t>0</w:t>
            </w:r>
          </w:p>
        </w:tc>
        <w:tc>
          <w:tcPr>
            <w:tcW w:w="992" w:type="dxa"/>
          </w:tcPr>
          <w:p w14:paraId="3F79571B" w14:textId="5764BF98" w:rsidR="00084360"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rsidRPr="002F251B">
              <w:t>0</w:t>
            </w:r>
          </w:p>
        </w:tc>
      </w:tr>
      <w:tr w:rsidR="00084360" w:rsidRPr="00687E27" w14:paraId="190501F0" w14:textId="77777777" w:rsidTr="00275A5E">
        <w:trPr>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453A83D3" w14:textId="77777777" w:rsidR="00084360" w:rsidRPr="00357156" w:rsidRDefault="00084360" w:rsidP="00084360">
            <w:pPr>
              <w:pStyle w:val="Tabelid"/>
              <w:rPr>
                <w:b w:val="0"/>
              </w:rPr>
            </w:pPr>
            <w:r w:rsidRPr="00357156">
              <w:rPr>
                <w:b w:val="0"/>
              </w:rPr>
              <w:t xml:space="preserve">    Elektriaktsiis</w:t>
            </w:r>
          </w:p>
        </w:tc>
        <w:tc>
          <w:tcPr>
            <w:tcW w:w="1134" w:type="dxa"/>
          </w:tcPr>
          <w:p w14:paraId="70E0084C" w14:textId="72050850" w:rsidR="00084360"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rsidRPr="00687E27">
              <w:t>1</w:t>
            </w:r>
            <w:r>
              <w:t>8</w:t>
            </w:r>
          </w:p>
        </w:tc>
        <w:tc>
          <w:tcPr>
            <w:tcW w:w="992" w:type="dxa"/>
          </w:tcPr>
          <w:p w14:paraId="5DAB32DC" w14:textId="4F170867" w:rsidR="00084360"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rsidRPr="002F251B">
              <w:t>8</w:t>
            </w:r>
          </w:p>
        </w:tc>
        <w:tc>
          <w:tcPr>
            <w:tcW w:w="992" w:type="dxa"/>
          </w:tcPr>
          <w:p w14:paraId="0BCB0774" w14:textId="41AA3D9F" w:rsidR="00084360"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rsidRPr="002F251B">
              <w:t>8</w:t>
            </w:r>
          </w:p>
        </w:tc>
        <w:tc>
          <w:tcPr>
            <w:tcW w:w="992" w:type="dxa"/>
          </w:tcPr>
          <w:p w14:paraId="06E9A557" w14:textId="3B0ACD4F" w:rsidR="00084360"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rsidRPr="002F251B">
              <w:t>11</w:t>
            </w:r>
          </w:p>
        </w:tc>
        <w:tc>
          <w:tcPr>
            <w:tcW w:w="993" w:type="dxa"/>
          </w:tcPr>
          <w:p w14:paraId="4C78B6EC" w14:textId="287333A8" w:rsidR="00084360"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rsidRPr="002F251B">
              <w:t>16</w:t>
            </w:r>
          </w:p>
        </w:tc>
        <w:tc>
          <w:tcPr>
            <w:tcW w:w="992" w:type="dxa"/>
          </w:tcPr>
          <w:p w14:paraId="4E0E5E0A" w14:textId="66917358" w:rsidR="00084360"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rsidRPr="002F251B">
              <w:t>23</w:t>
            </w:r>
          </w:p>
        </w:tc>
        <w:tc>
          <w:tcPr>
            <w:tcW w:w="992" w:type="dxa"/>
          </w:tcPr>
          <w:p w14:paraId="183A8B77" w14:textId="7502E376" w:rsidR="00084360" w:rsidRPr="00687E27" w:rsidRDefault="00084360" w:rsidP="004C5163">
            <w:pPr>
              <w:pStyle w:val="Tabelid"/>
              <w:jc w:val="right"/>
              <w:cnfStyle w:val="000000000000" w:firstRow="0" w:lastRow="0" w:firstColumn="0" w:lastColumn="0" w:oddVBand="0" w:evenVBand="0" w:oddHBand="0" w:evenHBand="0" w:firstRowFirstColumn="0" w:firstRowLastColumn="0" w:lastRowFirstColumn="0" w:lastRowLastColumn="0"/>
            </w:pPr>
            <w:r w:rsidRPr="002F251B">
              <w:t>35</w:t>
            </w:r>
          </w:p>
        </w:tc>
      </w:tr>
      <w:tr w:rsidR="00687E27" w:rsidRPr="00687E27" w14:paraId="0293EF53" w14:textId="77777777" w:rsidTr="00275A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70282662" w14:textId="77777777" w:rsidR="00687E27" w:rsidRPr="00357156" w:rsidRDefault="00687E27" w:rsidP="00687E27">
            <w:pPr>
              <w:pStyle w:val="Tabelid"/>
              <w:rPr>
                <w:b w:val="0"/>
              </w:rPr>
            </w:pPr>
            <w:r w:rsidRPr="00357156">
              <w:rPr>
                <w:b w:val="0"/>
              </w:rPr>
              <w:t xml:space="preserve">    Muu aktsiis</w:t>
            </w:r>
          </w:p>
        </w:tc>
        <w:tc>
          <w:tcPr>
            <w:tcW w:w="1134" w:type="dxa"/>
          </w:tcPr>
          <w:p w14:paraId="4F556168" w14:textId="56625AB4" w:rsidR="00687E27" w:rsidRPr="00687E27" w:rsidRDefault="00687E27" w:rsidP="004C5163">
            <w:pPr>
              <w:pStyle w:val="Tabelid"/>
              <w:jc w:val="right"/>
              <w:cnfStyle w:val="000000100000" w:firstRow="0" w:lastRow="0" w:firstColumn="0" w:lastColumn="0" w:oddVBand="0" w:evenVBand="0" w:oddHBand="1" w:evenHBand="0" w:firstRowFirstColumn="0" w:firstRowLastColumn="0" w:lastRowFirstColumn="0" w:lastRowLastColumn="0"/>
            </w:pPr>
            <w:r w:rsidRPr="00687E27">
              <w:t>0,0</w:t>
            </w:r>
          </w:p>
        </w:tc>
        <w:tc>
          <w:tcPr>
            <w:tcW w:w="992" w:type="dxa"/>
          </w:tcPr>
          <w:p w14:paraId="1986AA86" w14:textId="5636EA00" w:rsidR="00687E27"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t>0,0</w:t>
            </w:r>
          </w:p>
        </w:tc>
        <w:tc>
          <w:tcPr>
            <w:tcW w:w="992" w:type="dxa"/>
          </w:tcPr>
          <w:p w14:paraId="5E48A50E" w14:textId="101C5A4B" w:rsidR="00687E27"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t>0,0</w:t>
            </w:r>
          </w:p>
        </w:tc>
        <w:tc>
          <w:tcPr>
            <w:tcW w:w="992" w:type="dxa"/>
          </w:tcPr>
          <w:p w14:paraId="23F0E3C7" w14:textId="5377C10D" w:rsidR="00687E27"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t>0,0</w:t>
            </w:r>
          </w:p>
        </w:tc>
        <w:tc>
          <w:tcPr>
            <w:tcW w:w="993" w:type="dxa"/>
          </w:tcPr>
          <w:p w14:paraId="6B5F0D07" w14:textId="5B876D7F" w:rsidR="00687E27"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t>0,0</w:t>
            </w:r>
          </w:p>
        </w:tc>
        <w:tc>
          <w:tcPr>
            <w:tcW w:w="992" w:type="dxa"/>
          </w:tcPr>
          <w:p w14:paraId="3883A72D" w14:textId="22B34102" w:rsidR="00687E27"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t>0,0</w:t>
            </w:r>
          </w:p>
        </w:tc>
        <w:tc>
          <w:tcPr>
            <w:tcW w:w="992" w:type="dxa"/>
          </w:tcPr>
          <w:p w14:paraId="2DB136E6" w14:textId="319A9C52" w:rsidR="00687E27" w:rsidRPr="00687E27" w:rsidRDefault="00084360" w:rsidP="004C5163">
            <w:pPr>
              <w:pStyle w:val="Tabelid"/>
              <w:jc w:val="right"/>
              <w:cnfStyle w:val="000000100000" w:firstRow="0" w:lastRow="0" w:firstColumn="0" w:lastColumn="0" w:oddVBand="0" w:evenVBand="0" w:oddHBand="1" w:evenHBand="0" w:firstRowFirstColumn="0" w:firstRowLastColumn="0" w:lastRowFirstColumn="0" w:lastRowLastColumn="0"/>
            </w:pPr>
            <w:r>
              <w:t>0,0</w:t>
            </w:r>
          </w:p>
        </w:tc>
      </w:tr>
      <w:tr w:rsidR="00C53930" w:rsidRPr="00687E27" w14:paraId="636A2D02" w14:textId="77777777" w:rsidTr="00275A5E">
        <w:trPr>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0050E77F" w14:textId="77777777" w:rsidR="00C53930" w:rsidRPr="00357156" w:rsidRDefault="00C53930" w:rsidP="00C53930">
            <w:pPr>
              <w:pStyle w:val="Tabelid"/>
              <w:rPr>
                <w:b w:val="0"/>
              </w:rPr>
            </w:pPr>
            <w:r w:rsidRPr="00357156">
              <w:rPr>
                <w:b w:val="0"/>
              </w:rPr>
              <w:t>Hasartmängumaks</w:t>
            </w:r>
          </w:p>
        </w:tc>
        <w:tc>
          <w:tcPr>
            <w:tcW w:w="1134" w:type="dxa"/>
          </w:tcPr>
          <w:p w14:paraId="3ACDAA49" w14:textId="5AB4548E" w:rsidR="00C53930" w:rsidRPr="00687E27" w:rsidRDefault="00C53930" w:rsidP="004C5163">
            <w:pPr>
              <w:pStyle w:val="Tabelid"/>
              <w:jc w:val="right"/>
              <w:cnfStyle w:val="000000000000" w:firstRow="0" w:lastRow="0" w:firstColumn="0" w:lastColumn="0" w:oddVBand="0" w:evenVBand="0" w:oddHBand="0" w:evenHBand="0" w:firstRowFirstColumn="0" w:firstRowLastColumn="0" w:lastRowFirstColumn="0" w:lastRowLastColumn="0"/>
            </w:pPr>
            <w:r w:rsidRPr="00687E27">
              <w:t>28</w:t>
            </w:r>
          </w:p>
        </w:tc>
        <w:tc>
          <w:tcPr>
            <w:tcW w:w="992" w:type="dxa"/>
          </w:tcPr>
          <w:p w14:paraId="7F0A975D" w14:textId="7B84A6DB" w:rsidR="00C53930" w:rsidRPr="00687E27" w:rsidRDefault="00C53930" w:rsidP="004C5163">
            <w:pPr>
              <w:pStyle w:val="Tabelid"/>
              <w:jc w:val="right"/>
              <w:cnfStyle w:val="000000000000" w:firstRow="0" w:lastRow="0" w:firstColumn="0" w:lastColumn="0" w:oddVBand="0" w:evenVBand="0" w:oddHBand="0" w:evenHBand="0" w:firstRowFirstColumn="0" w:firstRowLastColumn="0" w:lastRowFirstColumn="0" w:lastRowLastColumn="0"/>
            </w:pPr>
            <w:r w:rsidRPr="005766F1">
              <w:t>33</w:t>
            </w:r>
          </w:p>
        </w:tc>
        <w:tc>
          <w:tcPr>
            <w:tcW w:w="992" w:type="dxa"/>
          </w:tcPr>
          <w:p w14:paraId="545DCD76" w14:textId="2B022A41" w:rsidR="00C53930" w:rsidRPr="00687E27" w:rsidRDefault="00C53930" w:rsidP="004C5163">
            <w:pPr>
              <w:pStyle w:val="Tabelid"/>
              <w:jc w:val="right"/>
              <w:cnfStyle w:val="000000000000" w:firstRow="0" w:lastRow="0" w:firstColumn="0" w:lastColumn="0" w:oddVBand="0" w:evenVBand="0" w:oddHBand="0" w:evenHBand="0" w:firstRowFirstColumn="0" w:firstRowLastColumn="0" w:lastRowFirstColumn="0" w:lastRowLastColumn="0"/>
            </w:pPr>
            <w:r w:rsidRPr="005766F1">
              <w:t>39</w:t>
            </w:r>
          </w:p>
        </w:tc>
        <w:tc>
          <w:tcPr>
            <w:tcW w:w="992" w:type="dxa"/>
          </w:tcPr>
          <w:p w14:paraId="2D9FF951" w14:textId="0D1BBB7C" w:rsidR="00C53930" w:rsidRPr="00687E27" w:rsidRDefault="00C53930" w:rsidP="004C5163">
            <w:pPr>
              <w:pStyle w:val="Tabelid"/>
              <w:jc w:val="right"/>
              <w:cnfStyle w:val="000000000000" w:firstRow="0" w:lastRow="0" w:firstColumn="0" w:lastColumn="0" w:oddVBand="0" w:evenVBand="0" w:oddHBand="0" w:evenHBand="0" w:firstRowFirstColumn="0" w:firstRowLastColumn="0" w:lastRowFirstColumn="0" w:lastRowLastColumn="0"/>
            </w:pPr>
            <w:r w:rsidRPr="005766F1">
              <w:t>40</w:t>
            </w:r>
          </w:p>
        </w:tc>
        <w:tc>
          <w:tcPr>
            <w:tcW w:w="993" w:type="dxa"/>
          </w:tcPr>
          <w:p w14:paraId="6D2C5CE8" w14:textId="7BF43C8A" w:rsidR="00C53930" w:rsidRPr="00687E27" w:rsidRDefault="00C53930" w:rsidP="004C5163">
            <w:pPr>
              <w:pStyle w:val="Tabelid"/>
              <w:jc w:val="right"/>
              <w:cnfStyle w:val="000000000000" w:firstRow="0" w:lastRow="0" w:firstColumn="0" w:lastColumn="0" w:oddVBand="0" w:evenVBand="0" w:oddHBand="0" w:evenHBand="0" w:firstRowFirstColumn="0" w:firstRowLastColumn="0" w:lastRowFirstColumn="0" w:lastRowLastColumn="0"/>
            </w:pPr>
            <w:r w:rsidRPr="005766F1">
              <w:t>41</w:t>
            </w:r>
          </w:p>
        </w:tc>
        <w:tc>
          <w:tcPr>
            <w:tcW w:w="992" w:type="dxa"/>
          </w:tcPr>
          <w:p w14:paraId="59F5313B" w14:textId="63C378AF" w:rsidR="00C53930" w:rsidRPr="00687E27" w:rsidRDefault="00C53930" w:rsidP="004C5163">
            <w:pPr>
              <w:pStyle w:val="Tabelid"/>
              <w:jc w:val="right"/>
              <w:cnfStyle w:val="000000000000" w:firstRow="0" w:lastRow="0" w:firstColumn="0" w:lastColumn="0" w:oddVBand="0" w:evenVBand="0" w:oddHBand="0" w:evenHBand="0" w:firstRowFirstColumn="0" w:firstRowLastColumn="0" w:lastRowFirstColumn="0" w:lastRowLastColumn="0"/>
            </w:pPr>
            <w:r w:rsidRPr="005766F1">
              <w:t>42</w:t>
            </w:r>
          </w:p>
        </w:tc>
        <w:tc>
          <w:tcPr>
            <w:tcW w:w="992" w:type="dxa"/>
          </w:tcPr>
          <w:p w14:paraId="2E6E9580" w14:textId="5CF9C9D5" w:rsidR="00C53930" w:rsidRPr="00687E27" w:rsidRDefault="00C53930" w:rsidP="004C5163">
            <w:pPr>
              <w:pStyle w:val="Tabelid"/>
              <w:jc w:val="right"/>
              <w:cnfStyle w:val="000000000000" w:firstRow="0" w:lastRow="0" w:firstColumn="0" w:lastColumn="0" w:oddVBand="0" w:evenVBand="0" w:oddHBand="0" w:evenHBand="0" w:firstRowFirstColumn="0" w:firstRowLastColumn="0" w:lastRowFirstColumn="0" w:lastRowLastColumn="0"/>
            </w:pPr>
            <w:r w:rsidRPr="005766F1">
              <w:t>44</w:t>
            </w:r>
          </w:p>
        </w:tc>
      </w:tr>
      <w:tr w:rsidR="00C53930" w:rsidRPr="00687E27" w14:paraId="0AC2C9E9" w14:textId="77777777" w:rsidTr="00275A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7B4D99F0" w14:textId="77777777" w:rsidR="00C53930" w:rsidRPr="00357156" w:rsidRDefault="00C53930" w:rsidP="00C53930">
            <w:pPr>
              <w:pStyle w:val="Tabelid"/>
              <w:rPr>
                <w:b w:val="0"/>
              </w:rPr>
            </w:pPr>
            <w:r w:rsidRPr="00357156">
              <w:rPr>
                <w:b w:val="0"/>
              </w:rPr>
              <w:t>Tollimaks</w:t>
            </w:r>
          </w:p>
        </w:tc>
        <w:tc>
          <w:tcPr>
            <w:tcW w:w="1134" w:type="dxa"/>
          </w:tcPr>
          <w:p w14:paraId="6B1781D3" w14:textId="10DD0BEA" w:rsidR="00C53930" w:rsidRPr="00687E27" w:rsidRDefault="00C53930" w:rsidP="004C5163">
            <w:pPr>
              <w:pStyle w:val="Tabelid"/>
              <w:jc w:val="right"/>
              <w:cnfStyle w:val="000000100000" w:firstRow="0" w:lastRow="0" w:firstColumn="0" w:lastColumn="0" w:oddVBand="0" w:evenVBand="0" w:oddHBand="1" w:evenHBand="0" w:firstRowFirstColumn="0" w:firstRowLastColumn="0" w:lastRowFirstColumn="0" w:lastRowLastColumn="0"/>
            </w:pPr>
            <w:r w:rsidRPr="00687E27">
              <w:t>42</w:t>
            </w:r>
          </w:p>
        </w:tc>
        <w:tc>
          <w:tcPr>
            <w:tcW w:w="992" w:type="dxa"/>
          </w:tcPr>
          <w:p w14:paraId="7FDC5C62" w14:textId="75C0DEAC" w:rsidR="00C53930" w:rsidRPr="00687E27" w:rsidRDefault="00C53930" w:rsidP="004C5163">
            <w:pPr>
              <w:pStyle w:val="Tabelid"/>
              <w:jc w:val="right"/>
              <w:cnfStyle w:val="000000100000" w:firstRow="0" w:lastRow="0" w:firstColumn="0" w:lastColumn="0" w:oddVBand="0" w:evenVBand="0" w:oddHBand="1" w:evenHBand="0" w:firstRowFirstColumn="0" w:firstRowLastColumn="0" w:lastRowFirstColumn="0" w:lastRowLastColumn="0"/>
            </w:pPr>
            <w:r w:rsidRPr="005766F1">
              <w:t>62</w:t>
            </w:r>
          </w:p>
        </w:tc>
        <w:tc>
          <w:tcPr>
            <w:tcW w:w="992" w:type="dxa"/>
          </w:tcPr>
          <w:p w14:paraId="43D1089F" w14:textId="032B54B7" w:rsidR="00C53930" w:rsidRPr="00687E27" w:rsidRDefault="00C53930" w:rsidP="004C5163">
            <w:pPr>
              <w:pStyle w:val="Tabelid"/>
              <w:jc w:val="right"/>
              <w:cnfStyle w:val="000000100000" w:firstRow="0" w:lastRow="0" w:firstColumn="0" w:lastColumn="0" w:oddVBand="0" w:evenVBand="0" w:oddHBand="1" w:evenHBand="0" w:firstRowFirstColumn="0" w:firstRowLastColumn="0" w:lastRowFirstColumn="0" w:lastRowLastColumn="0"/>
            </w:pPr>
            <w:r w:rsidRPr="005766F1">
              <w:t>58</w:t>
            </w:r>
          </w:p>
        </w:tc>
        <w:tc>
          <w:tcPr>
            <w:tcW w:w="992" w:type="dxa"/>
          </w:tcPr>
          <w:p w14:paraId="4544A0B1" w14:textId="305D9712" w:rsidR="00C53930" w:rsidRPr="00687E27" w:rsidRDefault="00C53930" w:rsidP="004C5163">
            <w:pPr>
              <w:pStyle w:val="Tabelid"/>
              <w:jc w:val="right"/>
              <w:cnfStyle w:val="000000100000" w:firstRow="0" w:lastRow="0" w:firstColumn="0" w:lastColumn="0" w:oddVBand="0" w:evenVBand="0" w:oddHBand="1" w:evenHBand="0" w:firstRowFirstColumn="0" w:firstRowLastColumn="0" w:lastRowFirstColumn="0" w:lastRowLastColumn="0"/>
            </w:pPr>
            <w:r w:rsidRPr="005766F1">
              <w:t>60</w:t>
            </w:r>
          </w:p>
        </w:tc>
        <w:tc>
          <w:tcPr>
            <w:tcW w:w="993" w:type="dxa"/>
          </w:tcPr>
          <w:p w14:paraId="74D57379" w14:textId="117955ED" w:rsidR="00C53930" w:rsidRPr="00687E27" w:rsidRDefault="00C53930" w:rsidP="004C5163">
            <w:pPr>
              <w:pStyle w:val="Tabelid"/>
              <w:jc w:val="right"/>
              <w:cnfStyle w:val="000000100000" w:firstRow="0" w:lastRow="0" w:firstColumn="0" w:lastColumn="0" w:oddVBand="0" w:evenVBand="0" w:oddHBand="1" w:evenHBand="0" w:firstRowFirstColumn="0" w:firstRowLastColumn="0" w:lastRowFirstColumn="0" w:lastRowLastColumn="0"/>
            </w:pPr>
            <w:r w:rsidRPr="005766F1">
              <w:t>62</w:t>
            </w:r>
          </w:p>
        </w:tc>
        <w:tc>
          <w:tcPr>
            <w:tcW w:w="992" w:type="dxa"/>
          </w:tcPr>
          <w:p w14:paraId="3BBBEC9B" w14:textId="76E21B0B" w:rsidR="00C53930" w:rsidRPr="00687E27" w:rsidRDefault="00C53930" w:rsidP="004C5163">
            <w:pPr>
              <w:pStyle w:val="Tabelid"/>
              <w:jc w:val="right"/>
              <w:cnfStyle w:val="000000100000" w:firstRow="0" w:lastRow="0" w:firstColumn="0" w:lastColumn="0" w:oddVBand="0" w:evenVBand="0" w:oddHBand="1" w:evenHBand="0" w:firstRowFirstColumn="0" w:firstRowLastColumn="0" w:lastRowFirstColumn="0" w:lastRowLastColumn="0"/>
            </w:pPr>
            <w:r w:rsidRPr="005766F1">
              <w:t>63</w:t>
            </w:r>
          </w:p>
        </w:tc>
        <w:tc>
          <w:tcPr>
            <w:tcW w:w="992" w:type="dxa"/>
          </w:tcPr>
          <w:p w14:paraId="3370D5B2" w14:textId="5B346CCE" w:rsidR="00C53930" w:rsidRPr="00687E27" w:rsidRDefault="00C53930" w:rsidP="004C5163">
            <w:pPr>
              <w:pStyle w:val="Tabelid"/>
              <w:jc w:val="right"/>
              <w:cnfStyle w:val="000000100000" w:firstRow="0" w:lastRow="0" w:firstColumn="0" w:lastColumn="0" w:oddVBand="0" w:evenVBand="0" w:oddHBand="1" w:evenHBand="0" w:firstRowFirstColumn="0" w:firstRowLastColumn="0" w:lastRowFirstColumn="0" w:lastRowLastColumn="0"/>
            </w:pPr>
            <w:r w:rsidRPr="005766F1">
              <w:t>65</w:t>
            </w:r>
          </w:p>
        </w:tc>
      </w:tr>
      <w:tr w:rsidR="00687E27" w:rsidRPr="00687E27" w14:paraId="170DF730" w14:textId="77777777" w:rsidTr="00275A5E">
        <w:trPr>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6DC8A49E" w14:textId="77777777" w:rsidR="00687E27" w:rsidRPr="00357156" w:rsidRDefault="00687E27" w:rsidP="00687E27">
            <w:pPr>
              <w:pStyle w:val="Tabelid"/>
              <w:rPr>
                <w:bCs/>
              </w:rPr>
            </w:pPr>
            <w:r w:rsidRPr="00357156">
              <w:rPr>
                <w:bCs/>
              </w:rPr>
              <w:t>Mittemaksulised tulud</w:t>
            </w:r>
          </w:p>
        </w:tc>
        <w:tc>
          <w:tcPr>
            <w:tcW w:w="1134" w:type="dxa"/>
          </w:tcPr>
          <w:p w14:paraId="45602B59" w14:textId="5BF2290C" w:rsidR="00687E27" w:rsidRPr="00B21534" w:rsidRDefault="00687E27" w:rsidP="004C5163">
            <w:pPr>
              <w:pStyle w:val="Tabelid"/>
              <w:jc w:val="right"/>
              <w:cnfStyle w:val="000000000000" w:firstRow="0" w:lastRow="0" w:firstColumn="0" w:lastColumn="0" w:oddVBand="0" w:evenVBand="0" w:oddHBand="0" w:evenHBand="0" w:firstRowFirstColumn="0" w:firstRowLastColumn="0" w:lastRowFirstColumn="0" w:lastRowLastColumn="0"/>
              <w:rPr>
                <w:b/>
                <w:bCs/>
              </w:rPr>
            </w:pPr>
            <w:r w:rsidRPr="00B21534">
              <w:rPr>
                <w:b/>
                <w:bCs/>
              </w:rPr>
              <w:t xml:space="preserve">1 </w:t>
            </w:r>
            <w:r w:rsidR="00C53930" w:rsidRPr="00B21534">
              <w:rPr>
                <w:b/>
                <w:bCs/>
              </w:rPr>
              <w:t>469</w:t>
            </w:r>
          </w:p>
        </w:tc>
        <w:tc>
          <w:tcPr>
            <w:tcW w:w="992" w:type="dxa"/>
          </w:tcPr>
          <w:p w14:paraId="156BC92E" w14:textId="488B7B11" w:rsidR="00687E27" w:rsidRPr="00B21534" w:rsidRDefault="00C53930" w:rsidP="004C5163">
            <w:pPr>
              <w:pStyle w:val="Tabelid"/>
              <w:jc w:val="right"/>
              <w:cnfStyle w:val="000000000000" w:firstRow="0" w:lastRow="0" w:firstColumn="0" w:lastColumn="0" w:oddVBand="0" w:evenVBand="0" w:oddHBand="0" w:evenHBand="0" w:firstRowFirstColumn="0" w:firstRowLastColumn="0" w:lastRowFirstColumn="0" w:lastRowLastColumn="0"/>
              <w:rPr>
                <w:b/>
                <w:bCs/>
              </w:rPr>
            </w:pPr>
            <w:r w:rsidRPr="00B21534">
              <w:rPr>
                <w:b/>
                <w:bCs/>
              </w:rPr>
              <w:t>1 526</w:t>
            </w:r>
          </w:p>
        </w:tc>
        <w:tc>
          <w:tcPr>
            <w:tcW w:w="992" w:type="dxa"/>
          </w:tcPr>
          <w:p w14:paraId="6311A700" w14:textId="1913A18B" w:rsidR="00687E27" w:rsidRPr="00B21534" w:rsidRDefault="00C53930" w:rsidP="004C5163">
            <w:pPr>
              <w:pStyle w:val="Tabelid"/>
              <w:jc w:val="right"/>
              <w:cnfStyle w:val="000000000000" w:firstRow="0" w:lastRow="0" w:firstColumn="0" w:lastColumn="0" w:oddVBand="0" w:evenVBand="0" w:oddHBand="0" w:evenHBand="0" w:firstRowFirstColumn="0" w:firstRowLastColumn="0" w:lastRowFirstColumn="0" w:lastRowLastColumn="0"/>
              <w:rPr>
                <w:b/>
                <w:bCs/>
              </w:rPr>
            </w:pPr>
            <w:r w:rsidRPr="00B21534">
              <w:rPr>
                <w:b/>
                <w:bCs/>
              </w:rPr>
              <w:t>2 049</w:t>
            </w:r>
          </w:p>
        </w:tc>
        <w:tc>
          <w:tcPr>
            <w:tcW w:w="992" w:type="dxa"/>
          </w:tcPr>
          <w:p w14:paraId="37409B2B" w14:textId="4079A6E4" w:rsidR="00687E27" w:rsidRPr="00B21534" w:rsidRDefault="00C53930" w:rsidP="004C5163">
            <w:pPr>
              <w:pStyle w:val="Tabelid"/>
              <w:jc w:val="right"/>
              <w:cnfStyle w:val="000000000000" w:firstRow="0" w:lastRow="0" w:firstColumn="0" w:lastColumn="0" w:oddVBand="0" w:evenVBand="0" w:oddHBand="0" w:evenHBand="0" w:firstRowFirstColumn="0" w:firstRowLastColumn="0" w:lastRowFirstColumn="0" w:lastRowLastColumn="0"/>
              <w:rPr>
                <w:b/>
                <w:bCs/>
              </w:rPr>
            </w:pPr>
            <w:r w:rsidRPr="00B21534">
              <w:rPr>
                <w:b/>
                <w:bCs/>
              </w:rPr>
              <w:t>2 332</w:t>
            </w:r>
          </w:p>
        </w:tc>
        <w:tc>
          <w:tcPr>
            <w:tcW w:w="993" w:type="dxa"/>
          </w:tcPr>
          <w:p w14:paraId="448D973D" w14:textId="3D661BBE" w:rsidR="00687E27" w:rsidRPr="00B21534" w:rsidRDefault="00C53930" w:rsidP="004C5163">
            <w:pPr>
              <w:pStyle w:val="Tabelid"/>
              <w:jc w:val="right"/>
              <w:cnfStyle w:val="000000000000" w:firstRow="0" w:lastRow="0" w:firstColumn="0" w:lastColumn="0" w:oddVBand="0" w:evenVBand="0" w:oddHBand="0" w:evenHBand="0" w:firstRowFirstColumn="0" w:firstRowLastColumn="0" w:lastRowFirstColumn="0" w:lastRowLastColumn="0"/>
              <w:rPr>
                <w:b/>
                <w:bCs/>
              </w:rPr>
            </w:pPr>
            <w:r w:rsidRPr="00B21534">
              <w:rPr>
                <w:b/>
                <w:bCs/>
              </w:rPr>
              <w:t>2 321</w:t>
            </w:r>
          </w:p>
        </w:tc>
        <w:tc>
          <w:tcPr>
            <w:tcW w:w="992" w:type="dxa"/>
          </w:tcPr>
          <w:p w14:paraId="06EFD81B" w14:textId="504A617D" w:rsidR="00687E27" w:rsidRPr="00B21534" w:rsidRDefault="00C53930" w:rsidP="004C5163">
            <w:pPr>
              <w:pStyle w:val="Tabelid"/>
              <w:jc w:val="right"/>
              <w:cnfStyle w:val="000000000000" w:firstRow="0" w:lastRow="0" w:firstColumn="0" w:lastColumn="0" w:oddVBand="0" w:evenVBand="0" w:oddHBand="0" w:evenHBand="0" w:firstRowFirstColumn="0" w:firstRowLastColumn="0" w:lastRowFirstColumn="0" w:lastRowLastColumn="0"/>
              <w:rPr>
                <w:b/>
                <w:bCs/>
              </w:rPr>
            </w:pPr>
            <w:r w:rsidRPr="00B21534">
              <w:rPr>
                <w:b/>
                <w:bCs/>
              </w:rPr>
              <w:t>2 136</w:t>
            </w:r>
          </w:p>
        </w:tc>
        <w:tc>
          <w:tcPr>
            <w:tcW w:w="992" w:type="dxa"/>
          </w:tcPr>
          <w:p w14:paraId="3A422839" w14:textId="6F3DD9DD" w:rsidR="00687E27" w:rsidRPr="00B21534" w:rsidRDefault="00C53930" w:rsidP="004C5163">
            <w:pPr>
              <w:pStyle w:val="Tabelid"/>
              <w:jc w:val="right"/>
              <w:cnfStyle w:val="000000000000" w:firstRow="0" w:lastRow="0" w:firstColumn="0" w:lastColumn="0" w:oddVBand="0" w:evenVBand="0" w:oddHBand="0" w:evenHBand="0" w:firstRowFirstColumn="0" w:firstRowLastColumn="0" w:lastRowFirstColumn="0" w:lastRowLastColumn="0"/>
              <w:rPr>
                <w:b/>
                <w:bCs/>
              </w:rPr>
            </w:pPr>
            <w:r w:rsidRPr="00B21534">
              <w:rPr>
                <w:b/>
                <w:bCs/>
              </w:rPr>
              <w:t>2 071</w:t>
            </w:r>
          </w:p>
        </w:tc>
      </w:tr>
      <w:tr w:rsidR="00B21534" w:rsidRPr="00687E27" w14:paraId="4596AA4E" w14:textId="77777777" w:rsidTr="0046679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0DD0B62C" w14:textId="0D3DCAA5" w:rsidR="00B21534" w:rsidRPr="00357156" w:rsidRDefault="00B21534" w:rsidP="00B21534">
            <w:pPr>
              <w:pStyle w:val="Tabelid"/>
              <w:rPr>
                <w:b w:val="0"/>
              </w:rPr>
            </w:pPr>
            <w:r w:rsidRPr="00357156">
              <w:rPr>
                <w:b w:val="0"/>
              </w:rPr>
              <w:t>Saadud toetused</w:t>
            </w:r>
          </w:p>
        </w:tc>
        <w:tc>
          <w:tcPr>
            <w:tcW w:w="1134" w:type="dxa"/>
            <w:vAlign w:val="bottom"/>
          </w:tcPr>
          <w:p w14:paraId="1AE95F46" w14:textId="1883A84E"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838</w:t>
            </w:r>
          </w:p>
        </w:tc>
        <w:tc>
          <w:tcPr>
            <w:tcW w:w="992" w:type="dxa"/>
            <w:vAlign w:val="bottom"/>
          </w:tcPr>
          <w:p w14:paraId="05F8B722" w14:textId="5FBE7297"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935</w:t>
            </w:r>
          </w:p>
        </w:tc>
        <w:tc>
          <w:tcPr>
            <w:tcW w:w="992" w:type="dxa"/>
            <w:vAlign w:val="bottom"/>
          </w:tcPr>
          <w:p w14:paraId="31963765" w14:textId="1222B7F5"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1 303</w:t>
            </w:r>
          </w:p>
        </w:tc>
        <w:tc>
          <w:tcPr>
            <w:tcW w:w="992" w:type="dxa"/>
            <w:vAlign w:val="bottom"/>
          </w:tcPr>
          <w:p w14:paraId="6AD7DF54" w14:textId="3998AC71"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1 626</w:t>
            </w:r>
          </w:p>
        </w:tc>
        <w:tc>
          <w:tcPr>
            <w:tcW w:w="993" w:type="dxa"/>
            <w:vAlign w:val="bottom"/>
          </w:tcPr>
          <w:p w14:paraId="769F77D9" w14:textId="2401B6B6"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1 507</w:t>
            </w:r>
          </w:p>
        </w:tc>
        <w:tc>
          <w:tcPr>
            <w:tcW w:w="992" w:type="dxa"/>
            <w:vAlign w:val="bottom"/>
          </w:tcPr>
          <w:p w14:paraId="5EC5B40B" w14:textId="3B29AA52"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1 395</w:t>
            </w:r>
          </w:p>
        </w:tc>
        <w:tc>
          <w:tcPr>
            <w:tcW w:w="992" w:type="dxa"/>
            <w:vAlign w:val="bottom"/>
          </w:tcPr>
          <w:p w14:paraId="6198FFB5" w14:textId="3AEAA093"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1 406</w:t>
            </w:r>
          </w:p>
        </w:tc>
      </w:tr>
      <w:tr w:rsidR="00B21534" w:rsidRPr="00687E27" w14:paraId="3C4A35E5" w14:textId="77777777" w:rsidTr="00275A5E">
        <w:trPr>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40104D39" w14:textId="3FFC085F" w:rsidR="00B21534" w:rsidRPr="00357156" w:rsidRDefault="00B21534" w:rsidP="00B21534">
            <w:pPr>
              <w:pStyle w:val="Tabelid"/>
              <w:rPr>
                <w:b w:val="0"/>
              </w:rPr>
            </w:pPr>
            <w:r w:rsidRPr="00357156">
              <w:rPr>
                <w:b w:val="0"/>
              </w:rPr>
              <w:t>Riigilõivud</w:t>
            </w:r>
          </w:p>
        </w:tc>
        <w:tc>
          <w:tcPr>
            <w:tcW w:w="1134" w:type="dxa"/>
          </w:tcPr>
          <w:p w14:paraId="4C6F6A35" w14:textId="7D93C3CC"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687E27">
              <w:t>7</w:t>
            </w:r>
            <w:r>
              <w:t>5</w:t>
            </w:r>
          </w:p>
        </w:tc>
        <w:tc>
          <w:tcPr>
            <w:tcW w:w="992" w:type="dxa"/>
          </w:tcPr>
          <w:p w14:paraId="694A5FAC" w14:textId="1D690143"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t>89</w:t>
            </w:r>
          </w:p>
        </w:tc>
        <w:tc>
          <w:tcPr>
            <w:tcW w:w="992" w:type="dxa"/>
          </w:tcPr>
          <w:p w14:paraId="65454351" w14:textId="30A29EF8"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t>86</w:t>
            </w:r>
          </w:p>
        </w:tc>
        <w:tc>
          <w:tcPr>
            <w:tcW w:w="992" w:type="dxa"/>
          </w:tcPr>
          <w:p w14:paraId="2D34619A" w14:textId="0478DD2C"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t>89</w:t>
            </w:r>
          </w:p>
        </w:tc>
        <w:tc>
          <w:tcPr>
            <w:tcW w:w="993" w:type="dxa"/>
          </w:tcPr>
          <w:p w14:paraId="4D912F5B" w14:textId="6CD6011E"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t>91</w:t>
            </w:r>
          </w:p>
        </w:tc>
        <w:tc>
          <w:tcPr>
            <w:tcW w:w="992" w:type="dxa"/>
          </w:tcPr>
          <w:p w14:paraId="55D28ACD" w14:textId="397A1518"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t>91</w:t>
            </w:r>
          </w:p>
        </w:tc>
        <w:tc>
          <w:tcPr>
            <w:tcW w:w="992" w:type="dxa"/>
          </w:tcPr>
          <w:p w14:paraId="0923C506" w14:textId="4DED4BEC"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t>92</w:t>
            </w:r>
          </w:p>
        </w:tc>
      </w:tr>
      <w:tr w:rsidR="00B21534" w:rsidRPr="00687E27" w14:paraId="6F97DF96" w14:textId="77777777" w:rsidTr="0046679C">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261" w:type="dxa"/>
            <w:hideMark/>
          </w:tcPr>
          <w:p w14:paraId="06026D4F" w14:textId="3E3968CD" w:rsidR="00B21534" w:rsidRPr="00357156" w:rsidRDefault="00B21534" w:rsidP="00B21534">
            <w:pPr>
              <w:pStyle w:val="Tabelid"/>
              <w:rPr>
                <w:b w:val="0"/>
              </w:rPr>
            </w:pPr>
            <w:r>
              <w:rPr>
                <w:b w:val="0"/>
              </w:rPr>
              <w:t>Tulu</w:t>
            </w:r>
            <w:r w:rsidRPr="00357156">
              <w:rPr>
                <w:b w:val="0"/>
              </w:rPr>
              <w:t xml:space="preserve"> majandustegevusest</w:t>
            </w:r>
          </w:p>
        </w:tc>
        <w:tc>
          <w:tcPr>
            <w:tcW w:w="1134" w:type="dxa"/>
            <w:vAlign w:val="bottom"/>
          </w:tcPr>
          <w:p w14:paraId="26281E62" w14:textId="238685A3"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234</w:t>
            </w:r>
          </w:p>
        </w:tc>
        <w:tc>
          <w:tcPr>
            <w:tcW w:w="992" w:type="dxa"/>
            <w:vAlign w:val="bottom"/>
          </w:tcPr>
          <w:p w14:paraId="6C224F4B" w14:textId="7AC17D14"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206</w:t>
            </w:r>
          </w:p>
        </w:tc>
        <w:tc>
          <w:tcPr>
            <w:tcW w:w="992" w:type="dxa"/>
            <w:vAlign w:val="bottom"/>
          </w:tcPr>
          <w:p w14:paraId="7B48EB33" w14:textId="6BE85150"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353</w:t>
            </w:r>
          </w:p>
        </w:tc>
        <w:tc>
          <w:tcPr>
            <w:tcW w:w="992" w:type="dxa"/>
            <w:vAlign w:val="bottom"/>
          </w:tcPr>
          <w:p w14:paraId="37740694" w14:textId="4A845D60"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355</w:t>
            </w:r>
          </w:p>
        </w:tc>
        <w:tc>
          <w:tcPr>
            <w:tcW w:w="993" w:type="dxa"/>
            <w:vAlign w:val="bottom"/>
          </w:tcPr>
          <w:p w14:paraId="792D29C3" w14:textId="52FF1AB1"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374</w:t>
            </w:r>
          </w:p>
        </w:tc>
        <w:tc>
          <w:tcPr>
            <w:tcW w:w="992" w:type="dxa"/>
            <w:vAlign w:val="bottom"/>
          </w:tcPr>
          <w:p w14:paraId="54A8216A" w14:textId="1FAFEAF2"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267</w:t>
            </w:r>
          </w:p>
        </w:tc>
        <w:tc>
          <w:tcPr>
            <w:tcW w:w="992" w:type="dxa"/>
            <w:vAlign w:val="bottom"/>
          </w:tcPr>
          <w:p w14:paraId="5116B7D9" w14:textId="3AD4F5F2"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245</w:t>
            </w:r>
          </w:p>
        </w:tc>
      </w:tr>
      <w:tr w:rsidR="00B21534" w:rsidRPr="00687E27" w14:paraId="1E62248C" w14:textId="77777777" w:rsidTr="0046679C">
        <w:trPr>
          <w:trHeight w:val="412"/>
        </w:trPr>
        <w:tc>
          <w:tcPr>
            <w:cnfStyle w:val="001000000000" w:firstRow="0" w:lastRow="0" w:firstColumn="1" w:lastColumn="0" w:oddVBand="0" w:evenVBand="0" w:oddHBand="0" w:evenHBand="0" w:firstRowFirstColumn="0" w:firstRowLastColumn="0" w:lastRowFirstColumn="0" w:lastRowLastColumn="0"/>
            <w:tcW w:w="3261" w:type="dxa"/>
            <w:hideMark/>
          </w:tcPr>
          <w:p w14:paraId="306982F1" w14:textId="463A0352" w:rsidR="00B21534" w:rsidRPr="00357156" w:rsidRDefault="00B21534" w:rsidP="00B21534">
            <w:pPr>
              <w:pStyle w:val="Tabelid"/>
              <w:rPr>
                <w:b w:val="0"/>
              </w:rPr>
            </w:pPr>
            <w:r>
              <w:rPr>
                <w:b w:val="0"/>
              </w:rPr>
              <w:t>Tulu põhivara ja varude müügist</w:t>
            </w:r>
          </w:p>
        </w:tc>
        <w:tc>
          <w:tcPr>
            <w:tcW w:w="1134" w:type="dxa"/>
            <w:vAlign w:val="bottom"/>
          </w:tcPr>
          <w:p w14:paraId="5AD11E5B" w14:textId="16EC08F4"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20</w:t>
            </w:r>
          </w:p>
        </w:tc>
        <w:tc>
          <w:tcPr>
            <w:tcW w:w="992" w:type="dxa"/>
            <w:vAlign w:val="bottom"/>
          </w:tcPr>
          <w:p w14:paraId="23867BDA" w14:textId="7820296A"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34</w:t>
            </w:r>
          </w:p>
        </w:tc>
        <w:tc>
          <w:tcPr>
            <w:tcW w:w="992" w:type="dxa"/>
            <w:vAlign w:val="bottom"/>
          </w:tcPr>
          <w:p w14:paraId="794A1828" w14:textId="04E1D13B"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25</w:t>
            </w:r>
          </w:p>
        </w:tc>
        <w:tc>
          <w:tcPr>
            <w:tcW w:w="992" w:type="dxa"/>
            <w:vAlign w:val="bottom"/>
          </w:tcPr>
          <w:p w14:paraId="2A8DBF0D" w14:textId="66247283"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25</w:t>
            </w:r>
          </w:p>
        </w:tc>
        <w:tc>
          <w:tcPr>
            <w:tcW w:w="993" w:type="dxa"/>
            <w:vAlign w:val="bottom"/>
          </w:tcPr>
          <w:p w14:paraId="1AE72DC4" w14:textId="1F4A00A1"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46</w:t>
            </w:r>
          </w:p>
        </w:tc>
        <w:tc>
          <w:tcPr>
            <w:tcW w:w="992" w:type="dxa"/>
            <w:vAlign w:val="bottom"/>
          </w:tcPr>
          <w:p w14:paraId="31D37C17" w14:textId="7506EFAF"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48</w:t>
            </w:r>
          </w:p>
        </w:tc>
        <w:tc>
          <w:tcPr>
            <w:tcW w:w="992" w:type="dxa"/>
            <w:vAlign w:val="bottom"/>
          </w:tcPr>
          <w:p w14:paraId="194C4790" w14:textId="26260C8E"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23</w:t>
            </w:r>
          </w:p>
        </w:tc>
      </w:tr>
      <w:tr w:rsidR="00B21534" w:rsidRPr="00687E27" w14:paraId="51D69DDA" w14:textId="77777777" w:rsidTr="0046679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3620E268" w14:textId="64053B1B" w:rsidR="00B21534" w:rsidRPr="00357156" w:rsidRDefault="00B21534" w:rsidP="00B21534">
            <w:pPr>
              <w:pStyle w:val="Tabelid"/>
              <w:rPr>
                <w:b w:val="0"/>
              </w:rPr>
            </w:pPr>
            <w:r>
              <w:rPr>
                <w:b w:val="0"/>
              </w:rPr>
              <w:t>Trahvid ja muud varalised karistused</w:t>
            </w:r>
          </w:p>
        </w:tc>
        <w:tc>
          <w:tcPr>
            <w:tcW w:w="1134" w:type="dxa"/>
            <w:vAlign w:val="bottom"/>
          </w:tcPr>
          <w:p w14:paraId="269A7790" w14:textId="01C94274"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16</w:t>
            </w:r>
          </w:p>
        </w:tc>
        <w:tc>
          <w:tcPr>
            <w:tcW w:w="992" w:type="dxa"/>
            <w:vAlign w:val="bottom"/>
          </w:tcPr>
          <w:p w14:paraId="0EE9A99B" w14:textId="2506480F"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17</w:t>
            </w:r>
          </w:p>
        </w:tc>
        <w:tc>
          <w:tcPr>
            <w:tcW w:w="992" w:type="dxa"/>
            <w:vAlign w:val="bottom"/>
          </w:tcPr>
          <w:p w14:paraId="351C4E11" w14:textId="19832F84"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18</w:t>
            </w:r>
          </w:p>
        </w:tc>
        <w:tc>
          <w:tcPr>
            <w:tcW w:w="992" w:type="dxa"/>
            <w:vAlign w:val="bottom"/>
          </w:tcPr>
          <w:p w14:paraId="19EBA2D7" w14:textId="3C60124E"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18</w:t>
            </w:r>
          </w:p>
        </w:tc>
        <w:tc>
          <w:tcPr>
            <w:tcW w:w="993" w:type="dxa"/>
            <w:vAlign w:val="bottom"/>
          </w:tcPr>
          <w:p w14:paraId="7FD2E293" w14:textId="57DBEEEB"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18</w:t>
            </w:r>
          </w:p>
        </w:tc>
        <w:tc>
          <w:tcPr>
            <w:tcW w:w="992" w:type="dxa"/>
            <w:vAlign w:val="bottom"/>
          </w:tcPr>
          <w:p w14:paraId="584B24C0" w14:textId="0C5D9E4F"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18</w:t>
            </w:r>
          </w:p>
        </w:tc>
        <w:tc>
          <w:tcPr>
            <w:tcW w:w="992" w:type="dxa"/>
            <w:vAlign w:val="bottom"/>
          </w:tcPr>
          <w:p w14:paraId="55CDC39F" w14:textId="4B0E5220"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18</w:t>
            </w:r>
          </w:p>
        </w:tc>
      </w:tr>
      <w:tr w:rsidR="00B21534" w:rsidRPr="00687E27" w14:paraId="270EB016" w14:textId="77777777" w:rsidTr="0046679C">
        <w:trPr>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31728E09" w14:textId="5EA316F0" w:rsidR="00B21534" w:rsidRPr="00357156" w:rsidRDefault="00B21534" w:rsidP="00B21534">
            <w:pPr>
              <w:pStyle w:val="Tabelid"/>
              <w:rPr>
                <w:b w:val="0"/>
              </w:rPr>
            </w:pPr>
            <w:r w:rsidRPr="00357156">
              <w:rPr>
                <w:b w:val="0"/>
              </w:rPr>
              <w:t xml:space="preserve"> </w:t>
            </w:r>
            <w:r>
              <w:rPr>
                <w:b w:val="0"/>
              </w:rPr>
              <w:t>Keskkonnatasud</w:t>
            </w:r>
          </w:p>
        </w:tc>
        <w:tc>
          <w:tcPr>
            <w:tcW w:w="1134" w:type="dxa"/>
            <w:vAlign w:val="bottom"/>
          </w:tcPr>
          <w:p w14:paraId="12BFC0F2" w14:textId="7F7170A9"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71</w:t>
            </w:r>
          </w:p>
        </w:tc>
        <w:tc>
          <w:tcPr>
            <w:tcW w:w="992" w:type="dxa"/>
            <w:vAlign w:val="bottom"/>
          </w:tcPr>
          <w:p w14:paraId="6159B6F0" w14:textId="3DFBF7D5"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120</w:t>
            </w:r>
          </w:p>
        </w:tc>
        <w:tc>
          <w:tcPr>
            <w:tcW w:w="992" w:type="dxa"/>
            <w:vAlign w:val="bottom"/>
          </w:tcPr>
          <w:p w14:paraId="49CC09C7" w14:textId="065F8AB6"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108</w:t>
            </w:r>
          </w:p>
        </w:tc>
        <w:tc>
          <w:tcPr>
            <w:tcW w:w="992" w:type="dxa"/>
            <w:vAlign w:val="bottom"/>
          </w:tcPr>
          <w:p w14:paraId="339FE30C" w14:textId="1A5923EA"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108</w:t>
            </w:r>
          </w:p>
        </w:tc>
        <w:tc>
          <w:tcPr>
            <w:tcW w:w="993" w:type="dxa"/>
            <w:vAlign w:val="bottom"/>
          </w:tcPr>
          <w:p w14:paraId="17D60F57" w14:textId="68C37989"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111</w:t>
            </w:r>
          </w:p>
        </w:tc>
        <w:tc>
          <w:tcPr>
            <w:tcW w:w="992" w:type="dxa"/>
            <w:vAlign w:val="bottom"/>
          </w:tcPr>
          <w:p w14:paraId="0A173721" w14:textId="2E1A5915"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113</w:t>
            </w:r>
          </w:p>
        </w:tc>
        <w:tc>
          <w:tcPr>
            <w:tcW w:w="992" w:type="dxa"/>
            <w:vAlign w:val="bottom"/>
          </w:tcPr>
          <w:p w14:paraId="37AA9B25" w14:textId="43D84C13"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113</w:t>
            </w:r>
          </w:p>
        </w:tc>
      </w:tr>
      <w:tr w:rsidR="00B21534" w:rsidRPr="00687E27" w14:paraId="1B6F215E" w14:textId="77777777" w:rsidTr="0046679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1" w:type="dxa"/>
            <w:hideMark/>
          </w:tcPr>
          <w:p w14:paraId="79860711" w14:textId="5B4AC381" w:rsidR="00B21534" w:rsidRPr="00357156" w:rsidRDefault="00B21534" w:rsidP="00B21534">
            <w:pPr>
              <w:pStyle w:val="Tabelid"/>
              <w:rPr>
                <w:b w:val="0"/>
              </w:rPr>
            </w:pPr>
            <w:r w:rsidRPr="00357156">
              <w:rPr>
                <w:b w:val="0"/>
              </w:rPr>
              <w:t xml:space="preserve"> Muud </w:t>
            </w:r>
            <w:r>
              <w:rPr>
                <w:b w:val="0"/>
              </w:rPr>
              <w:t>tegevustulud</w:t>
            </w:r>
          </w:p>
        </w:tc>
        <w:tc>
          <w:tcPr>
            <w:tcW w:w="1134" w:type="dxa"/>
            <w:vAlign w:val="bottom"/>
          </w:tcPr>
          <w:p w14:paraId="25CA1788" w14:textId="5BEB5FC0"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16</w:t>
            </w:r>
          </w:p>
        </w:tc>
        <w:tc>
          <w:tcPr>
            <w:tcW w:w="992" w:type="dxa"/>
            <w:vAlign w:val="bottom"/>
          </w:tcPr>
          <w:p w14:paraId="54F575BA" w14:textId="6FC52356"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13</w:t>
            </w:r>
          </w:p>
        </w:tc>
        <w:tc>
          <w:tcPr>
            <w:tcW w:w="992" w:type="dxa"/>
            <w:vAlign w:val="bottom"/>
          </w:tcPr>
          <w:p w14:paraId="67B238AF" w14:textId="78E98B3B"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14</w:t>
            </w:r>
          </w:p>
        </w:tc>
        <w:tc>
          <w:tcPr>
            <w:tcW w:w="992" w:type="dxa"/>
            <w:vAlign w:val="bottom"/>
          </w:tcPr>
          <w:p w14:paraId="3B3582CB" w14:textId="328F5357"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14</w:t>
            </w:r>
          </w:p>
        </w:tc>
        <w:tc>
          <w:tcPr>
            <w:tcW w:w="993" w:type="dxa"/>
            <w:vAlign w:val="bottom"/>
          </w:tcPr>
          <w:p w14:paraId="0EE76AD5" w14:textId="3F7D02A7"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14</w:t>
            </w:r>
          </w:p>
        </w:tc>
        <w:tc>
          <w:tcPr>
            <w:tcW w:w="992" w:type="dxa"/>
            <w:vAlign w:val="bottom"/>
          </w:tcPr>
          <w:p w14:paraId="5EFA32FC" w14:textId="39DB9689"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15</w:t>
            </w:r>
          </w:p>
        </w:tc>
        <w:tc>
          <w:tcPr>
            <w:tcW w:w="992" w:type="dxa"/>
            <w:vAlign w:val="bottom"/>
          </w:tcPr>
          <w:p w14:paraId="3F82E3EF" w14:textId="382AE5C1"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B21534">
              <w:t>15</w:t>
            </w:r>
          </w:p>
        </w:tc>
      </w:tr>
      <w:tr w:rsidR="00B21534" w:rsidRPr="00687E27" w14:paraId="0BBD82C9" w14:textId="77777777" w:rsidTr="00275A5E">
        <w:trPr>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115FC8F3" w14:textId="1CCBF43C" w:rsidR="00B21534" w:rsidRPr="00357156" w:rsidRDefault="00B21534" w:rsidP="00B21534">
            <w:pPr>
              <w:pStyle w:val="Tabelid"/>
              <w:rPr>
                <w:b w:val="0"/>
              </w:rPr>
            </w:pPr>
            <w:r w:rsidRPr="00357156">
              <w:rPr>
                <w:b w:val="0"/>
              </w:rPr>
              <w:t xml:space="preserve"> </w:t>
            </w:r>
            <w:r>
              <w:rPr>
                <w:b w:val="0"/>
              </w:rPr>
              <w:t>Intressi- ja omanikutulud</w:t>
            </w:r>
          </w:p>
        </w:tc>
        <w:tc>
          <w:tcPr>
            <w:tcW w:w="1134" w:type="dxa"/>
          </w:tcPr>
          <w:p w14:paraId="22ACD5CA" w14:textId="60BCEABD"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687E27">
              <w:t>19</w:t>
            </w:r>
            <w:r>
              <w:t>9</w:t>
            </w:r>
          </w:p>
        </w:tc>
        <w:tc>
          <w:tcPr>
            <w:tcW w:w="992" w:type="dxa"/>
          </w:tcPr>
          <w:p w14:paraId="5B92731C" w14:textId="4A863564"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t>111</w:t>
            </w:r>
          </w:p>
        </w:tc>
        <w:tc>
          <w:tcPr>
            <w:tcW w:w="992" w:type="dxa"/>
          </w:tcPr>
          <w:p w14:paraId="1C56D303" w14:textId="19BB2A47"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t>142</w:t>
            </w:r>
          </w:p>
        </w:tc>
        <w:tc>
          <w:tcPr>
            <w:tcW w:w="992" w:type="dxa"/>
          </w:tcPr>
          <w:p w14:paraId="49E9EBC3" w14:textId="3C519D51"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t>96</w:t>
            </w:r>
          </w:p>
        </w:tc>
        <w:tc>
          <w:tcPr>
            <w:tcW w:w="993" w:type="dxa"/>
          </w:tcPr>
          <w:p w14:paraId="2E06713B" w14:textId="220CF6C2"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t>159</w:t>
            </w:r>
          </w:p>
        </w:tc>
        <w:tc>
          <w:tcPr>
            <w:tcW w:w="992" w:type="dxa"/>
          </w:tcPr>
          <w:p w14:paraId="4832B2A9" w14:textId="66632B25"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t>189</w:t>
            </w:r>
          </w:p>
        </w:tc>
        <w:tc>
          <w:tcPr>
            <w:tcW w:w="992" w:type="dxa"/>
          </w:tcPr>
          <w:p w14:paraId="5BFCC925" w14:textId="057B0CE7"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t>161</w:t>
            </w:r>
          </w:p>
        </w:tc>
      </w:tr>
      <w:tr w:rsidR="00B21534" w:rsidRPr="00687E27" w14:paraId="12A89A3D" w14:textId="77777777" w:rsidTr="00275A5E">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261" w:type="dxa"/>
            <w:hideMark/>
          </w:tcPr>
          <w:p w14:paraId="004F138B" w14:textId="64F57691" w:rsidR="00B21534" w:rsidRPr="00357156" w:rsidRDefault="00B21534" w:rsidP="00B21534">
            <w:pPr>
              <w:pStyle w:val="Tabelid"/>
              <w:rPr>
                <w:b w:val="0"/>
              </w:rPr>
            </w:pPr>
            <w:r w:rsidRPr="00357156">
              <w:rPr>
                <w:bCs/>
              </w:rPr>
              <w:t xml:space="preserve">Edasiantavad tulud </w:t>
            </w:r>
          </w:p>
        </w:tc>
        <w:tc>
          <w:tcPr>
            <w:tcW w:w="1134" w:type="dxa"/>
          </w:tcPr>
          <w:p w14:paraId="74AD69A6" w14:textId="5CAAA0F4" w:rsidR="00B21534" w:rsidRPr="00B21534"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rPr>
                <w:b/>
                <w:bCs/>
              </w:rPr>
            </w:pPr>
            <w:r w:rsidRPr="00B21534">
              <w:rPr>
                <w:b/>
                <w:bCs/>
              </w:rPr>
              <w:t>1 712</w:t>
            </w:r>
          </w:p>
        </w:tc>
        <w:tc>
          <w:tcPr>
            <w:tcW w:w="992" w:type="dxa"/>
          </w:tcPr>
          <w:p w14:paraId="3BBB0150" w14:textId="18EDA2D6" w:rsidR="00B21534" w:rsidRPr="00B21534"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rPr>
                <w:b/>
                <w:bCs/>
              </w:rPr>
            </w:pPr>
            <w:r w:rsidRPr="00B21534">
              <w:rPr>
                <w:b/>
                <w:bCs/>
              </w:rPr>
              <w:t>1 824</w:t>
            </w:r>
          </w:p>
        </w:tc>
        <w:tc>
          <w:tcPr>
            <w:tcW w:w="992" w:type="dxa"/>
          </w:tcPr>
          <w:p w14:paraId="102E339B" w14:textId="6F8C9852" w:rsidR="00B21534" w:rsidRPr="00B21534"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rPr>
                <w:b/>
                <w:bCs/>
              </w:rPr>
            </w:pPr>
            <w:r w:rsidRPr="00B21534">
              <w:rPr>
                <w:b/>
                <w:bCs/>
              </w:rPr>
              <w:t>1 902</w:t>
            </w:r>
          </w:p>
        </w:tc>
        <w:tc>
          <w:tcPr>
            <w:tcW w:w="992" w:type="dxa"/>
          </w:tcPr>
          <w:p w14:paraId="577E771B" w14:textId="7FBC84E9" w:rsidR="00B21534" w:rsidRPr="00B21534"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rPr>
                <w:b/>
                <w:bCs/>
              </w:rPr>
            </w:pPr>
            <w:r w:rsidRPr="00B21534">
              <w:rPr>
                <w:b/>
                <w:bCs/>
              </w:rPr>
              <w:t>1 976</w:t>
            </w:r>
          </w:p>
        </w:tc>
        <w:tc>
          <w:tcPr>
            <w:tcW w:w="993" w:type="dxa"/>
          </w:tcPr>
          <w:p w14:paraId="29AC30AF" w14:textId="7E43DA0C" w:rsidR="00B21534" w:rsidRPr="00B21534"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rPr>
                <w:b/>
                <w:bCs/>
              </w:rPr>
            </w:pPr>
            <w:r w:rsidRPr="00B21534">
              <w:rPr>
                <w:b/>
                <w:bCs/>
              </w:rPr>
              <w:t>2 073</w:t>
            </w:r>
          </w:p>
        </w:tc>
        <w:tc>
          <w:tcPr>
            <w:tcW w:w="992" w:type="dxa"/>
          </w:tcPr>
          <w:p w14:paraId="4DD4764D" w14:textId="0C1104DC" w:rsidR="00B21534" w:rsidRPr="00B21534"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rPr>
                <w:b/>
                <w:bCs/>
              </w:rPr>
            </w:pPr>
            <w:r w:rsidRPr="00B21534">
              <w:rPr>
                <w:b/>
                <w:bCs/>
              </w:rPr>
              <w:t>2 174</w:t>
            </w:r>
          </w:p>
        </w:tc>
        <w:tc>
          <w:tcPr>
            <w:tcW w:w="992" w:type="dxa"/>
          </w:tcPr>
          <w:p w14:paraId="6ACB41CF" w14:textId="03F42133" w:rsidR="00B21534" w:rsidRPr="00B21534"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rPr>
                <w:b/>
                <w:bCs/>
              </w:rPr>
            </w:pPr>
            <w:r w:rsidRPr="00B21534">
              <w:rPr>
                <w:b/>
                <w:bCs/>
              </w:rPr>
              <w:t>2 278</w:t>
            </w:r>
          </w:p>
        </w:tc>
      </w:tr>
      <w:tr w:rsidR="00B21534" w:rsidRPr="00687E27" w14:paraId="0DB384C0" w14:textId="77777777" w:rsidTr="00275A5E">
        <w:trPr>
          <w:trHeight w:val="427"/>
        </w:trPr>
        <w:tc>
          <w:tcPr>
            <w:cnfStyle w:val="001000000000" w:firstRow="0" w:lastRow="0" w:firstColumn="1" w:lastColumn="0" w:oddVBand="0" w:evenVBand="0" w:oddHBand="0" w:evenHBand="0" w:firstRowFirstColumn="0" w:firstRowLastColumn="0" w:lastRowFirstColumn="0" w:lastRowLastColumn="0"/>
            <w:tcW w:w="3261" w:type="dxa"/>
            <w:hideMark/>
          </w:tcPr>
          <w:p w14:paraId="6931C956" w14:textId="2190EBD5" w:rsidR="00B21534" w:rsidRPr="00357156" w:rsidRDefault="00B21534" w:rsidP="00B21534">
            <w:pPr>
              <w:pStyle w:val="Tabelid"/>
              <w:rPr>
                <w:b w:val="0"/>
              </w:rPr>
            </w:pPr>
            <w:r w:rsidRPr="00357156">
              <w:rPr>
                <w:bCs/>
              </w:rPr>
              <w:t>Tulud kokku</w:t>
            </w:r>
          </w:p>
        </w:tc>
        <w:tc>
          <w:tcPr>
            <w:tcW w:w="1134" w:type="dxa"/>
          </w:tcPr>
          <w:p w14:paraId="3605C468" w14:textId="47AA5A9F" w:rsidR="00B21534" w:rsidRPr="00B21534"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rPr>
                <w:b/>
                <w:bCs/>
              </w:rPr>
            </w:pPr>
            <w:r w:rsidRPr="00B21534">
              <w:rPr>
                <w:b/>
                <w:bCs/>
              </w:rPr>
              <w:t>10 863</w:t>
            </w:r>
          </w:p>
        </w:tc>
        <w:tc>
          <w:tcPr>
            <w:tcW w:w="992" w:type="dxa"/>
          </w:tcPr>
          <w:p w14:paraId="164C8D4B" w14:textId="6D636F55" w:rsidR="00B21534" w:rsidRPr="00B21534"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rPr>
                <w:b/>
                <w:bCs/>
              </w:rPr>
            </w:pPr>
            <w:r w:rsidRPr="00B21534">
              <w:rPr>
                <w:b/>
                <w:bCs/>
              </w:rPr>
              <w:t>12 314</w:t>
            </w:r>
          </w:p>
        </w:tc>
        <w:tc>
          <w:tcPr>
            <w:tcW w:w="992" w:type="dxa"/>
          </w:tcPr>
          <w:p w14:paraId="11D542FA" w14:textId="1AB30D76" w:rsidR="00B21534" w:rsidRPr="00B21534"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rPr>
                <w:b/>
                <w:bCs/>
              </w:rPr>
            </w:pPr>
            <w:r w:rsidRPr="00B21534">
              <w:rPr>
                <w:b/>
                <w:bCs/>
              </w:rPr>
              <w:t>13 207</w:t>
            </w:r>
          </w:p>
        </w:tc>
        <w:tc>
          <w:tcPr>
            <w:tcW w:w="992" w:type="dxa"/>
          </w:tcPr>
          <w:p w14:paraId="3D77244C" w14:textId="62182BD3" w:rsidR="00B21534" w:rsidRPr="00B21534"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rPr>
                <w:b/>
                <w:bCs/>
              </w:rPr>
            </w:pPr>
            <w:r w:rsidRPr="00B21534">
              <w:rPr>
                <w:b/>
                <w:bCs/>
              </w:rPr>
              <w:t>13 746</w:t>
            </w:r>
          </w:p>
        </w:tc>
        <w:tc>
          <w:tcPr>
            <w:tcW w:w="993" w:type="dxa"/>
          </w:tcPr>
          <w:p w14:paraId="1EB84949" w14:textId="54563430" w:rsidR="00B21534" w:rsidRPr="00B21534"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rPr>
                <w:b/>
                <w:bCs/>
              </w:rPr>
            </w:pPr>
            <w:r w:rsidRPr="00B21534">
              <w:rPr>
                <w:b/>
                <w:bCs/>
              </w:rPr>
              <w:t>14 318</w:t>
            </w:r>
          </w:p>
        </w:tc>
        <w:tc>
          <w:tcPr>
            <w:tcW w:w="992" w:type="dxa"/>
          </w:tcPr>
          <w:p w14:paraId="1EE0288C" w14:textId="0A1CFCEB" w:rsidR="00B21534" w:rsidRPr="00B21534"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rPr>
                <w:b/>
                <w:bCs/>
              </w:rPr>
            </w:pPr>
            <w:r w:rsidRPr="00B21534">
              <w:rPr>
                <w:b/>
                <w:bCs/>
              </w:rPr>
              <w:t>14 697</w:t>
            </w:r>
          </w:p>
        </w:tc>
        <w:tc>
          <w:tcPr>
            <w:tcW w:w="992" w:type="dxa"/>
          </w:tcPr>
          <w:p w14:paraId="18805116" w14:textId="151F70EE" w:rsidR="00B21534" w:rsidRPr="00B21534"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rPr>
                <w:b/>
                <w:bCs/>
              </w:rPr>
            </w:pPr>
            <w:r w:rsidRPr="00B21534">
              <w:rPr>
                <w:b/>
                <w:bCs/>
              </w:rPr>
              <w:t>15 149</w:t>
            </w:r>
          </w:p>
        </w:tc>
      </w:tr>
      <w:tr w:rsidR="00B21534" w:rsidRPr="00687E27" w14:paraId="0E657CE1" w14:textId="77777777" w:rsidTr="00275A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3AF85F5D" w14:textId="48663D7D" w:rsidR="00B21534" w:rsidRPr="00357156" w:rsidRDefault="00B21534" w:rsidP="00B21534">
            <w:pPr>
              <w:pStyle w:val="Tabelid"/>
              <w:rPr>
                <w:b w:val="0"/>
              </w:rPr>
            </w:pPr>
            <w:r w:rsidRPr="00357156">
              <w:rPr>
                <w:b w:val="0"/>
              </w:rPr>
              <w:t>Kasv (%)</w:t>
            </w:r>
          </w:p>
        </w:tc>
        <w:tc>
          <w:tcPr>
            <w:tcW w:w="1134" w:type="dxa"/>
          </w:tcPr>
          <w:p w14:paraId="656F53AA" w14:textId="077364E5"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687E27">
              <w:t>-1,</w:t>
            </w:r>
            <w:r>
              <w:t>6</w:t>
            </w:r>
            <w:r w:rsidRPr="00687E27">
              <w:t>%</w:t>
            </w:r>
          </w:p>
        </w:tc>
        <w:tc>
          <w:tcPr>
            <w:tcW w:w="992" w:type="dxa"/>
          </w:tcPr>
          <w:p w14:paraId="7AE99BA3" w14:textId="1BD8EE74"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t>13,4%</w:t>
            </w:r>
          </w:p>
        </w:tc>
        <w:tc>
          <w:tcPr>
            <w:tcW w:w="992" w:type="dxa"/>
          </w:tcPr>
          <w:p w14:paraId="6F04B838" w14:textId="026A0763"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t>7,3%</w:t>
            </w:r>
          </w:p>
        </w:tc>
        <w:tc>
          <w:tcPr>
            <w:tcW w:w="992" w:type="dxa"/>
          </w:tcPr>
          <w:p w14:paraId="231C2DDD" w14:textId="6E4C96D4"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t>4,1%</w:t>
            </w:r>
          </w:p>
        </w:tc>
        <w:tc>
          <w:tcPr>
            <w:tcW w:w="993" w:type="dxa"/>
          </w:tcPr>
          <w:p w14:paraId="0B1831F5" w14:textId="2C5185B8"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t>4,2%</w:t>
            </w:r>
          </w:p>
        </w:tc>
        <w:tc>
          <w:tcPr>
            <w:tcW w:w="992" w:type="dxa"/>
          </w:tcPr>
          <w:p w14:paraId="3A414019" w14:textId="2C3974F8"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t>2,6%</w:t>
            </w:r>
          </w:p>
        </w:tc>
        <w:tc>
          <w:tcPr>
            <w:tcW w:w="992" w:type="dxa"/>
          </w:tcPr>
          <w:p w14:paraId="7444CC7B" w14:textId="13C264B9" w:rsidR="00B21534" w:rsidRPr="00687E27"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t>3,1%</w:t>
            </w:r>
          </w:p>
        </w:tc>
      </w:tr>
      <w:tr w:rsidR="00B21534" w:rsidRPr="00687E27" w14:paraId="7EE8E0D0" w14:textId="77777777" w:rsidTr="0046679C">
        <w:trPr>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66747052" w14:textId="7A80FFFD" w:rsidR="00B21534" w:rsidRPr="00357156" w:rsidRDefault="00B21534" w:rsidP="00B21534">
            <w:pPr>
              <w:pStyle w:val="Tabelid"/>
              <w:rPr>
                <w:bCs/>
              </w:rPr>
            </w:pPr>
            <w:r w:rsidRPr="00357156">
              <w:rPr>
                <w:b w:val="0"/>
              </w:rPr>
              <w:t>Saadud toetused</w:t>
            </w:r>
          </w:p>
        </w:tc>
        <w:tc>
          <w:tcPr>
            <w:tcW w:w="1134" w:type="dxa"/>
            <w:vAlign w:val="bottom"/>
          </w:tcPr>
          <w:p w14:paraId="1C05D68E" w14:textId="1B80F4B0" w:rsidR="00B21534" w:rsidRPr="00B21534"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838</w:t>
            </w:r>
          </w:p>
        </w:tc>
        <w:tc>
          <w:tcPr>
            <w:tcW w:w="992" w:type="dxa"/>
            <w:vAlign w:val="bottom"/>
          </w:tcPr>
          <w:p w14:paraId="2704B41E" w14:textId="2249D838" w:rsidR="00B21534" w:rsidRPr="00B21534"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935</w:t>
            </w:r>
          </w:p>
        </w:tc>
        <w:tc>
          <w:tcPr>
            <w:tcW w:w="992" w:type="dxa"/>
            <w:vAlign w:val="bottom"/>
          </w:tcPr>
          <w:p w14:paraId="7A7EB504" w14:textId="2D9DC6D9" w:rsidR="00B21534" w:rsidRPr="00B21534"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1 303</w:t>
            </w:r>
          </w:p>
        </w:tc>
        <w:tc>
          <w:tcPr>
            <w:tcW w:w="992" w:type="dxa"/>
            <w:vAlign w:val="bottom"/>
          </w:tcPr>
          <w:p w14:paraId="69F35DA6" w14:textId="3A73AD60" w:rsidR="00B21534" w:rsidRPr="00B21534"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1 626</w:t>
            </w:r>
          </w:p>
        </w:tc>
        <w:tc>
          <w:tcPr>
            <w:tcW w:w="993" w:type="dxa"/>
            <w:vAlign w:val="bottom"/>
          </w:tcPr>
          <w:p w14:paraId="385CAB9B" w14:textId="5D22036B" w:rsidR="00B21534" w:rsidRPr="00B21534"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1 507</w:t>
            </w:r>
          </w:p>
        </w:tc>
        <w:tc>
          <w:tcPr>
            <w:tcW w:w="992" w:type="dxa"/>
            <w:vAlign w:val="bottom"/>
          </w:tcPr>
          <w:p w14:paraId="56302E47" w14:textId="3A2E607D" w:rsidR="00B21534" w:rsidRPr="00B21534"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1 395</w:t>
            </w:r>
          </w:p>
        </w:tc>
        <w:tc>
          <w:tcPr>
            <w:tcW w:w="992" w:type="dxa"/>
            <w:vAlign w:val="bottom"/>
          </w:tcPr>
          <w:p w14:paraId="116C32E3" w14:textId="2DAF8FB0" w:rsidR="00B21534" w:rsidRPr="00B21534"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1 406</w:t>
            </w:r>
          </w:p>
        </w:tc>
      </w:tr>
      <w:tr w:rsidR="00B21534" w:rsidRPr="00687E27" w14:paraId="70457124" w14:textId="77777777" w:rsidTr="00275A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47058E2A" w14:textId="38CE9829" w:rsidR="00B21534" w:rsidRPr="00357156" w:rsidRDefault="00B21534" w:rsidP="00B21534">
            <w:pPr>
              <w:pStyle w:val="Tabelid"/>
              <w:rPr>
                <w:bCs/>
              </w:rPr>
            </w:pPr>
            <w:r w:rsidRPr="00357156">
              <w:rPr>
                <w:b w:val="0"/>
              </w:rPr>
              <w:t>Riigilõivud</w:t>
            </w:r>
          </w:p>
        </w:tc>
        <w:tc>
          <w:tcPr>
            <w:tcW w:w="1134" w:type="dxa"/>
          </w:tcPr>
          <w:p w14:paraId="3B2BABD0" w14:textId="73960AA4" w:rsidR="00B21534" w:rsidRPr="00B21534"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rsidRPr="00687E27">
              <w:t>7</w:t>
            </w:r>
            <w:r>
              <w:t>5</w:t>
            </w:r>
          </w:p>
        </w:tc>
        <w:tc>
          <w:tcPr>
            <w:tcW w:w="992" w:type="dxa"/>
          </w:tcPr>
          <w:p w14:paraId="156B1A24" w14:textId="049730A7" w:rsidR="00B21534" w:rsidRPr="00B21534"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t>89</w:t>
            </w:r>
          </w:p>
        </w:tc>
        <w:tc>
          <w:tcPr>
            <w:tcW w:w="992" w:type="dxa"/>
          </w:tcPr>
          <w:p w14:paraId="48D686CF" w14:textId="1B25B801" w:rsidR="00B21534" w:rsidRPr="00B21534"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t>86</w:t>
            </w:r>
          </w:p>
        </w:tc>
        <w:tc>
          <w:tcPr>
            <w:tcW w:w="992" w:type="dxa"/>
          </w:tcPr>
          <w:p w14:paraId="68FE81B9" w14:textId="48F9317A" w:rsidR="00B21534" w:rsidRPr="00B21534"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t>89</w:t>
            </w:r>
          </w:p>
        </w:tc>
        <w:tc>
          <w:tcPr>
            <w:tcW w:w="993" w:type="dxa"/>
          </w:tcPr>
          <w:p w14:paraId="06C37DD6" w14:textId="65DE851C" w:rsidR="00B21534" w:rsidRPr="00B21534"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t>91</w:t>
            </w:r>
          </w:p>
        </w:tc>
        <w:tc>
          <w:tcPr>
            <w:tcW w:w="992" w:type="dxa"/>
          </w:tcPr>
          <w:p w14:paraId="14BF363D" w14:textId="7BED3435" w:rsidR="00B21534" w:rsidRPr="00B21534"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t>91</w:t>
            </w:r>
          </w:p>
        </w:tc>
        <w:tc>
          <w:tcPr>
            <w:tcW w:w="992" w:type="dxa"/>
          </w:tcPr>
          <w:p w14:paraId="06907E2E" w14:textId="4732CF0A" w:rsidR="00B21534" w:rsidRPr="00B21534" w:rsidRDefault="00B21534" w:rsidP="00B21534">
            <w:pPr>
              <w:pStyle w:val="Tabelid"/>
              <w:jc w:val="right"/>
              <w:cnfStyle w:val="000000100000" w:firstRow="0" w:lastRow="0" w:firstColumn="0" w:lastColumn="0" w:oddVBand="0" w:evenVBand="0" w:oddHBand="1" w:evenHBand="0" w:firstRowFirstColumn="0" w:firstRowLastColumn="0" w:lastRowFirstColumn="0" w:lastRowLastColumn="0"/>
            </w:pPr>
            <w:r>
              <w:t>92</w:t>
            </w:r>
          </w:p>
        </w:tc>
      </w:tr>
      <w:tr w:rsidR="00B21534" w:rsidRPr="005822EA" w14:paraId="4B429351" w14:textId="77777777" w:rsidTr="0046679C">
        <w:trPr>
          <w:trHeight w:val="290"/>
        </w:trPr>
        <w:tc>
          <w:tcPr>
            <w:cnfStyle w:val="001000000000" w:firstRow="0" w:lastRow="0" w:firstColumn="1" w:lastColumn="0" w:oddVBand="0" w:evenVBand="0" w:oddHBand="0" w:evenHBand="0" w:firstRowFirstColumn="0" w:firstRowLastColumn="0" w:lastRowFirstColumn="0" w:lastRowLastColumn="0"/>
            <w:tcW w:w="3261" w:type="dxa"/>
            <w:hideMark/>
          </w:tcPr>
          <w:p w14:paraId="33126864" w14:textId="4ACC007F" w:rsidR="00B21534" w:rsidRPr="00357156" w:rsidRDefault="00B21534" w:rsidP="00B21534">
            <w:pPr>
              <w:pStyle w:val="Tabelid"/>
              <w:rPr>
                <w:b w:val="0"/>
              </w:rPr>
            </w:pPr>
            <w:r>
              <w:rPr>
                <w:b w:val="0"/>
              </w:rPr>
              <w:t>Tulu</w:t>
            </w:r>
            <w:r w:rsidRPr="00357156">
              <w:rPr>
                <w:b w:val="0"/>
              </w:rPr>
              <w:t xml:space="preserve"> majandustegevusest</w:t>
            </w:r>
          </w:p>
        </w:tc>
        <w:tc>
          <w:tcPr>
            <w:tcW w:w="1134" w:type="dxa"/>
            <w:vAlign w:val="bottom"/>
          </w:tcPr>
          <w:p w14:paraId="643B96F9" w14:textId="6C1A65ED"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234</w:t>
            </w:r>
          </w:p>
        </w:tc>
        <w:tc>
          <w:tcPr>
            <w:tcW w:w="992" w:type="dxa"/>
            <w:vAlign w:val="bottom"/>
          </w:tcPr>
          <w:p w14:paraId="5D1BB5B5" w14:textId="6736183F"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206</w:t>
            </w:r>
          </w:p>
        </w:tc>
        <w:tc>
          <w:tcPr>
            <w:tcW w:w="992" w:type="dxa"/>
            <w:vAlign w:val="bottom"/>
          </w:tcPr>
          <w:p w14:paraId="0B16C623" w14:textId="266ADD55"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353</w:t>
            </w:r>
          </w:p>
        </w:tc>
        <w:tc>
          <w:tcPr>
            <w:tcW w:w="992" w:type="dxa"/>
            <w:vAlign w:val="bottom"/>
          </w:tcPr>
          <w:p w14:paraId="03BBD6FA" w14:textId="30F0D137"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355</w:t>
            </w:r>
          </w:p>
        </w:tc>
        <w:tc>
          <w:tcPr>
            <w:tcW w:w="993" w:type="dxa"/>
            <w:vAlign w:val="bottom"/>
          </w:tcPr>
          <w:p w14:paraId="5832F961" w14:textId="39E5BADC"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374</w:t>
            </w:r>
          </w:p>
        </w:tc>
        <w:tc>
          <w:tcPr>
            <w:tcW w:w="992" w:type="dxa"/>
            <w:vAlign w:val="bottom"/>
          </w:tcPr>
          <w:p w14:paraId="3695DFCC" w14:textId="1A21E892" w:rsidR="00B21534" w:rsidRPr="00687E27"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267</w:t>
            </w:r>
          </w:p>
        </w:tc>
        <w:tc>
          <w:tcPr>
            <w:tcW w:w="992" w:type="dxa"/>
            <w:vAlign w:val="bottom"/>
          </w:tcPr>
          <w:p w14:paraId="2EB75B9E" w14:textId="4007E92C" w:rsidR="00B21534" w:rsidRPr="005822EA" w:rsidRDefault="00B21534" w:rsidP="00B21534">
            <w:pPr>
              <w:pStyle w:val="Tabelid"/>
              <w:jc w:val="right"/>
              <w:cnfStyle w:val="000000000000" w:firstRow="0" w:lastRow="0" w:firstColumn="0" w:lastColumn="0" w:oddVBand="0" w:evenVBand="0" w:oddHBand="0" w:evenHBand="0" w:firstRowFirstColumn="0" w:firstRowLastColumn="0" w:lastRowFirstColumn="0" w:lastRowLastColumn="0"/>
            </w:pPr>
            <w:r w:rsidRPr="00B21534">
              <w:t>245</w:t>
            </w:r>
          </w:p>
        </w:tc>
      </w:tr>
    </w:tbl>
    <w:p w14:paraId="541A58E0" w14:textId="77777777" w:rsidR="00831AD9" w:rsidRPr="005822EA" w:rsidRDefault="00831AD9" w:rsidP="00831AD9">
      <w:pPr>
        <w:jc w:val="both"/>
        <w:rPr>
          <w:highlight w:val="yellow"/>
        </w:rPr>
      </w:pPr>
      <w:r w:rsidRPr="005822EA">
        <w:rPr>
          <w:highlight w:val="yellow"/>
        </w:rPr>
        <w:br w:type="page"/>
      </w:r>
    </w:p>
    <w:p w14:paraId="11D06A09" w14:textId="4659FEAD" w:rsidR="00831AD9" w:rsidRPr="00E54FF2" w:rsidRDefault="00831AD9" w:rsidP="00E54FF2">
      <w:pPr>
        <w:pStyle w:val="Pealdis"/>
      </w:pPr>
      <w:bookmarkStart w:id="198" w:name="_Ref511397834"/>
      <w:bookmarkStart w:id="199" w:name="_Toc511056825"/>
      <w:bookmarkStart w:id="200" w:name="_Toc4502677"/>
      <w:bookmarkStart w:id="201" w:name="_Toc100230299"/>
      <w:r w:rsidRPr="00EF2257">
        <w:lastRenderedPageBreak/>
        <w:t xml:space="preserve">Tabel </w:t>
      </w:r>
      <w:fldSimple w:instr=" SEQ Tabel \* ARABIC ">
        <w:r w:rsidR="000C04EE">
          <w:rPr>
            <w:noProof/>
          </w:rPr>
          <w:t>14</w:t>
        </w:r>
      </w:fldSimple>
      <w:bookmarkEnd w:id="198"/>
      <w:r w:rsidRPr="00EF2257">
        <w:t>. Peamised</w:t>
      </w:r>
      <w:r w:rsidRPr="00AB2C28">
        <w:t xml:space="preserve"> maksumuudatused 202</w:t>
      </w:r>
      <w:r w:rsidR="00275A5E" w:rsidRPr="00AB2C28">
        <w:t>2</w:t>
      </w:r>
      <w:r w:rsidRPr="00AB2C28">
        <w:t>. ja 202</w:t>
      </w:r>
      <w:r w:rsidR="00275A5E" w:rsidRPr="00AB2C28">
        <w:t>3</w:t>
      </w:r>
      <w:r w:rsidRPr="00AB2C28">
        <w:t>. aastal</w:t>
      </w:r>
      <w:bookmarkEnd w:id="199"/>
      <w:bookmarkEnd w:id="200"/>
      <w:bookmarkEnd w:id="201"/>
    </w:p>
    <w:tbl>
      <w:tblPr>
        <w:tblStyle w:val="Peentabel1"/>
        <w:tblW w:w="9458" w:type="dxa"/>
        <w:tblLook w:val="04A0" w:firstRow="1" w:lastRow="0" w:firstColumn="1" w:lastColumn="0" w:noHBand="0" w:noVBand="1"/>
      </w:tblPr>
      <w:tblGrid>
        <w:gridCol w:w="3261"/>
        <w:gridCol w:w="1524"/>
        <w:gridCol w:w="1027"/>
        <w:gridCol w:w="1276"/>
        <w:gridCol w:w="142"/>
        <w:gridCol w:w="1073"/>
        <w:gridCol w:w="1155"/>
      </w:tblGrid>
      <w:tr w:rsidR="00831AD9" w:rsidRPr="00964E6E" w14:paraId="06E2DB49" w14:textId="77777777" w:rsidTr="005150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hideMark/>
          </w:tcPr>
          <w:p w14:paraId="03809AE3" w14:textId="77777777" w:rsidR="00831AD9" w:rsidRPr="00275A5E" w:rsidRDefault="00831AD9" w:rsidP="005150BF">
            <w:pPr>
              <w:pStyle w:val="Tabelid"/>
            </w:pPr>
            <w:r w:rsidRPr="00275A5E">
              <w:t> </w:t>
            </w:r>
          </w:p>
        </w:tc>
        <w:tc>
          <w:tcPr>
            <w:tcW w:w="1524" w:type="dxa"/>
            <w:hideMark/>
          </w:tcPr>
          <w:p w14:paraId="77C2B21B" w14:textId="77777777" w:rsidR="00831AD9" w:rsidRPr="00275A5E" w:rsidRDefault="00831AD9" w:rsidP="005150BF">
            <w:pPr>
              <w:pStyle w:val="Tabelid"/>
              <w:cnfStyle w:val="100000000000" w:firstRow="1" w:lastRow="0" w:firstColumn="0" w:lastColumn="0" w:oddVBand="0" w:evenVBand="0" w:oddHBand="0" w:evenHBand="0" w:firstRowFirstColumn="0" w:firstRowLastColumn="0" w:lastRowFirstColumn="0" w:lastRowLastColumn="0"/>
            </w:pPr>
            <w:r w:rsidRPr="00275A5E">
              <w:t>Jõustumine</w:t>
            </w:r>
          </w:p>
        </w:tc>
        <w:tc>
          <w:tcPr>
            <w:tcW w:w="2303" w:type="dxa"/>
            <w:gridSpan w:val="2"/>
            <w:hideMark/>
          </w:tcPr>
          <w:p w14:paraId="0337A621" w14:textId="37A59FEA" w:rsidR="00831AD9" w:rsidRPr="00275A5E" w:rsidRDefault="00831AD9" w:rsidP="004C5163">
            <w:pPr>
              <w:pStyle w:val="Tabelid"/>
              <w:jc w:val="right"/>
              <w:cnfStyle w:val="100000000000" w:firstRow="1" w:lastRow="0" w:firstColumn="0" w:lastColumn="0" w:oddVBand="0" w:evenVBand="0" w:oddHBand="0" w:evenHBand="0" w:firstRowFirstColumn="0" w:firstRowLastColumn="0" w:lastRowFirstColumn="0" w:lastRowLastColumn="0"/>
            </w:pPr>
            <w:r w:rsidRPr="00275A5E">
              <w:t>Mõju 202</w:t>
            </w:r>
            <w:r w:rsidR="00275A5E" w:rsidRPr="00275A5E">
              <w:t>2</w:t>
            </w:r>
          </w:p>
        </w:tc>
        <w:tc>
          <w:tcPr>
            <w:tcW w:w="2370" w:type="dxa"/>
            <w:gridSpan w:val="3"/>
            <w:hideMark/>
          </w:tcPr>
          <w:p w14:paraId="08ECFE42" w14:textId="2DD5B100" w:rsidR="00831AD9" w:rsidRPr="00275A5E" w:rsidRDefault="00831AD9" w:rsidP="004C5163">
            <w:pPr>
              <w:pStyle w:val="Tabelid"/>
              <w:jc w:val="right"/>
              <w:cnfStyle w:val="100000000000" w:firstRow="1" w:lastRow="0" w:firstColumn="0" w:lastColumn="0" w:oddVBand="0" w:evenVBand="0" w:oddHBand="0" w:evenHBand="0" w:firstRowFirstColumn="0" w:firstRowLastColumn="0" w:lastRowFirstColumn="0" w:lastRowLastColumn="0"/>
            </w:pPr>
            <w:r w:rsidRPr="00275A5E">
              <w:t>Mõju 202</w:t>
            </w:r>
            <w:r w:rsidR="00275A5E" w:rsidRPr="00275A5E">
              <w:t>3</w:t>
            </w:r>
          </w:p>
        </w:tc>
      </w:tr>
      <w:tr w:rsidR="00831AD9" w:rsidRPr="00964E6E" w14:paraId="65707F78" w14:textId="77777777" w:rsidTr="005150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14:paraId="4803378E" w14:textId="77777777" w:rsidR="00831AD9" w:rsidRPr="00275A5E" w:rsidRDefault="00831AD9" w:rsidP="005150BF">
            <w:pPr>
              <w:pStyle w:val="Tabelid"/>
              <w:rPr>
                <w:i/>
              </w:rPr>
            </w:pPr>
            <w:r w:rsidRPr="00275A5E">
              <w:rPr>
                <w:i/>
              </w:rPr>
              <w:t> </w:t>
            </w:r>
          </w:p>
        </w:tc>
        <w:tc>
          <w:tcPr>
            <w:tcW w:w="1524" w:type="dxa"/>
            <w:hideMark/>
          </w:tcPr>
          <w:p w14:paraId="3E772E70" w14:textId="77777777" w:rsidR="00831AD9" w:rsidRPr="00275A5E" w:rsidRDefault="00831AD9" w:rsidP="005150BF">
            <w:pPr>
              <w:pStyle w:val="Tabelid"/>
              <w:cnfStyle w:val="000000100000" w:firstRow="0" w:lastRow="0" w:firstColumn="0" w:lastColumn="0" w:oddVBand="0" w:evenVBand="0" w:oddHBand="1" w:evenHBand="0" w:firstRowFirstColumn="0" w:firstRowLastColumn="0" w:lastRowFirstColumn="0" w:lastRowLastColumn="0"/>
            </w:pPr>
            <w:r w:rsidRPr="00275A5E">
              <w:t> </w:t>
            </w:r>
          </w:p>
        </w:tc>
        <w:tc>
          <w:tcPr>
            <w:tcW w:w="1027" w:type="dxa"/>
            <w:hideMark/>
          </w:tcPr>
          <w:p w14:paraId="7D3D4830" w14:textId="77777777" w:rsidR="00831AD9" w:rsidRPr="00275A5E" w:rsidRDefault="00831AD9" w:rsidP="004C5163">
            <w:pPr>
              <w:pStyle w:val="Tabelid"/>
              <w:jc w:val="right"/>
              <w:cnfStyle w:val="000000100000" w:firstRow="0" w:lastRow="0" w:firstColumn="0" w:lastColumn="0" w:oddVBand="0" w:evenVBand="0" w:oddHBand="1" w:evenHBand="0" w:firstRowFirstColumn="0" w:firstRowLastColumn="0" w:lastRowFirstColumn="0" w:lastRowLastColumn="0"/>
            </w:pPr>
            <w:r w:rsidRPr="00275A5E">
              <w:t>Mln eurot</w:t>
            </w:r>
          </w:p>
        </w:tc>
        <w:tc>
          <w:tcPr>
            <w:tcW w:w="1418" w:type="dxa"/>
            <w:gridSpan w:val="2"/>
            <w:hideMark/>
          </w:tcPr>
          <w:p w14:paraId="330760E9" w14:textId="77777777" w:rsidR="00831AD9" w:rsidRPr="00275A5E" w:rsidRDefault="00831AD9" w:rsidP="004C5163">
            <w:pPr>
              <w:pStyle w:val="Tabelid"/>
              <w:jc w:val="right"/>
              <w:cnfStyle w:val="000000100000" w:firstRow="0" w:lastRow="0" w:firstColumn="0" w:lastColumn="0" w:oddVBand="0" w:evenVBand="0" w:oddHBand="1" w:evenHBand="0" w:firstRowFirstColumn="0" w:firstRowLastColumn="0" w:lastRowFirstColumn="0" w:lastRowLastColumn="0"/>
            </w:pPr>
            <w:r w:rsidRPr="00275A5E">
              <w:t>% SKPst</w:t>
            </w:r>
          </w:p>
        </w:tc>
        <w:tc>
          <w:tcPr>
            <w:tcW w:w="1073" w:type="dxa"/>
            <w:hideMark/>
          </w:tcPr>
          <w:p w14:paraId="3D1D8DB5" w14:textId="77777777" w:rsidR="00831AD9" w:rsidRPr="00275A5E" w:rsidRDefault="00831AD9" w:rsidP="004C5163">
            <w:pPr>
              <w:pStyle w:val="Tabelid"/>
              <w:jc w:val="right"/>
              <w:cnfStyle w:val="000000100000" w:firstRow="0" w:lastRow="0" w:firstColumn="0" w:lastColumn="0" w:oddVBand="0" w:evenVBand="0" w:oddHBand="1" w:evenHBand="0" w:firstRowFirstColumn="0" w:firstRowLastColumn="0" w:lastRowFirstColumn="0" w:lastRowLastColumn="0"/>
            </w:pPr>
            <w:r w:rsidRPr="00275A5E">
              <w:t>Mln eurot</w:t>
            </w:r>
          </w:p>
        </w:tc>
        <w:tc>
          <w:tcPr>
            <w:tcW w:w="1155" w:type="dxa"/>
            <w:hideMark/>
          </w:tcPr>
          <w:p w14:paraId="31D22209" w14:textId="77777777" w:rsidR="00831AD9" w:rsidRPr="00275A5E" w:rsidRDefault="00831AD9" w:rsidP="004C5163">
            <w:pPr>
              <w:pStyle w:val="Tabelid"/>
              <w:jc w:val="right"/>
              <w:cnfStyle w:val="000000100000" w:firstRow="0" w:lastRow="0" w:firstColumn="0" w:lastColumn="0" w:oddVBand="0" w:evenVBand="0" w:oddHBand="1" w:evenHBand="0" w:firstRowFirstColumn="0" w:firstRowLastColumn="0" w:lastRowFirstColumn="0" w:lastRowLastColumn="0"/>
            </w:pPr>
            <w:r w:rsidRPr="00275A5E">
              <w:t>% SKPst</w:t>
            </w:r>
          </w:p>
        </w:tc>
      </w:tr>
      <w:tr w:rsidR="00831AD9" w:rsidRPr="00964E6E" w14:paraId="2CE77255" w14:textId="77777777" w:rsidTr="005150BF">
        <w:trPr>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14:paraId="27D71462" w14:textId="77777777" w:rsidR="00831AD9" w:rsidRPr="00275A5E" w:rsidRDefault="00831AD9" w:rsidP="005150BF">
            <w:pPr>
              <w:pStyle w:val="Tabelid"/>
              <w:rPr>
                <w:b w:val="0"/>
              </w:rPr>
            </w:pPr>
            <w:r w:rsidRPr="00275A5E">
              <w:t>KOKKU</w:t>
            </w:r>
          </w:p>
        </w:tc>
        <w:tc>
          <w:tcPr>
            <w:tcW w:w="1524" w:type="dxa"/>
          </w:tcPr>
          <w:p w14:paraId="0135BBC3" w14:textId="77777777" w:rsidR="00831AD9" w:rsidRPr="00275A5E" w:rsidRDefault="00831AD9" w:rsidP="005150BF">
            <w:pPr>
              <w:pStyle w:val="Tabelid"/>
              <w:cnfStyle w:val="000000000000" w:firstRow="0" w:lastRow="0" w:firstColumn="0" w:lastColumn="0" w:oddVBand="0" w:evenVBand="0" w:oddHBand="0" w:evenHBand="0" w:firstRowFirstColumn="0" w:firstRowLastColumn="0" w:lastRowFirstColumn="0" w:lastRowLastColumn="0"/>
            </w:pPr>
          </w:p>
        </w:tc>
        <w:tc>
          <w:tcPr>
            <w:tcW w:w="1027" w:type="dxa"/>
          </w:tcPr>
          <w:p w14:paraId="0570D83F" w14:textId="06536B9C" w:rsidR="00831AD9" w:rsidRPr="00275A5E" w:rsidRDefault="00AB2C28" w:rsidP="004C5163">
            <w:pPr>
              <w:pStyle w:val="Tabelid"/>
              <w:jc w:val="right"/>
              <w:cnfStyle w:val="000000000000" w:firstRow="0" w:lastRow="0" w:firstColumn="0" w:lastColumn="0" w:oddVBand="0" w:evenVBand="0" w:oddHBand="0" w:evenHBand="0" w:firstRowFirstColumn="0" w:firstRowLastColumn="0" w:lastRowFirstColumn="0" w:lastRowLastColumn="0"/>
              <w:rPr>
                <w:b/>
                <w:bCs/>
              </w:rPr>
            </w:pPr>
            <w:r>
              <w:rPr>
                <w:b/>
                <w:bCs/>
              </w:rPr>
              <w:t>-49,7</w:t>
            </w:r>
          </w:p>
        </w:tc>
        <w:tc>
          <w:tcPr>
            <w:tcW w:w="1418" w:type="dxa"/>
            <w:gridSpan w:val="2"/>
          </w:tcPr>
          <w:p w14:paraId="5524A966" w14:textId="0F306C1F" w:rsidR="00831AD9" w:rsidRPr="00275A5E" w:rsidRDefault="00AB2C28" w:rsidP="004C5163">
            <w:pPr>
              <w:pStyle w:val="Tabelid"/>
              <w:jc w:val="right"/>
              <w:cnfStyle w:val="000000000000" w:firstRow="0" w:lastRow="0" w:firstColumn="0" w:lastColumn="0" w:oddVBand="0" w:evenVBand="0" w:oddHBand="0" w:evenHBand="0" w:firstRowFirstColumn="0" w:firstRowLastColumn="0" w:lastRowFirstColumn="0" w:lastRowLastColumn="0"/>
              <w:rPr>
                <w:b/>
                <w:bCs/>
              </w:rPr>
            </w:pPr>
            <w:r>
              <w:rPr>
                <w:b/>
                <w:bCs/>
              </w:rPr>
              <w:t>-0,2</w:t>
            </w:r>
          </w:p>
        </w:tc>
        <w:tc>
          <w:tcPr>
            <w:tcW w:w="1073" w:type="dxa"/>
          </w:tcPr>
          <w:p w14:paraId="7A83A273" w14:textId="07639D05" w:rsidR="00831AD9" w:rsidRPr="00275A5E" w:rsidRDefault="00AB2C28" w:rsidP="004C5163">
            <w:pPr>
              <w:pStyle w:val="Tabelid"/>
              <w:jc w:val="right"/>
              <w:cnfStyle w:val="000000000000" w:firstRow="0" w:lastRow="0" w:firstColumn="0" w:lastColumn="0" w:oddVBand="0" w:evenVBand="0" w:oddHBand="0" w:evenHBand="0" w:firstRowFirstColumn="0" w:firstRowLastColumn="0" w:lastRowFirstColumn="0" w:lastRowLastColumn="0"/>
              <w:rPr>
                <w:b/>
                <w:bCs/>
              </w:rPr>
            </w:pPr>
            <w:r>
              <w:rPr>
                <w:b/>
                <w:bCs/>
              </w:rPr>
              <w:t>-172,9</w:t>
            </w:r>
          </w:p>
        </w:tc>
        <w:tc>
          <w:tcPr>
            <w:tcW w:w="1155" w:type="dxa"/>
          </w:tcPr>
          <w:p w14:paraId="26FC020D" w14:textId="6F4DF81E" w:rsidR="00831AD9" w:rsidRPr="00275A5E" w:rsidRDefault="00AB2C28" w:rsidP="004C5163">
            <w:pPr>
              <w:pStyle w:val="Tabelid"/>
              <w:jc w:val="right"/>
              <w:cnfStyle w:val="000000000000" w:firstRow="0" w:lastRow="0" w:firstColumn="0" w:lastColumn="0" w:oddVBand="0" w:evenVBand="0" w:oddHBand="0" w:evenHBand="0" w:firstRowFirstColumn="0" w:firstRowLastColumn="0" w:lastRowFirstColumn="0" w:lastRowLastColumn="0"/>
              <w:rPr>
                <w:b/>
                <w:bCs/>
              </w:rPr>
            </w:pPr>
            <w:r>
              <w:rPr>
                <w:b/>
                <w:bCs/>
              </w:rPr>
              <w:t>-0,5</w:t>
            </w:r>
          </w:p>
        </w:tc>
      </w:tr>
      <w:tr w:rsidR="00275A5E" w:rsidRPr="00964E6E" w14:paraId="2F84E663" w14:textId="77777777" w:rsidTr="005150BF">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261" w:type="dxa"/>
          </w:tcPr>
          <w:p w14:paraId="4619F6E7" w14:textId="6C247742" w:rsidR="00275A5E" w:rsidRPr="00275A5E" w:rsidRDefault="00275A5E" w:rsidP="00275A5E">
            <w:pPr>
              <w:pStyle w:val="Tabelid"/>
            </w:pPr>
            <w:r w:rsidRPr="00275A5E">
              <w:t>Maksustatava tulu hulgast arvatakse välja lasterikaste perede kodutoetus ja väikeelamute energiatõhususe suurendamise toetus</w:t>
            </w:r>
          </w:p>
        </w:tc>
        <w:tc>
          <w:tcPr>
            <w:tcW w:w="1524" w:type="dxa"/>
          </w:tcPr>
          <w:p w14:paraId="6D21D574" w14:textId="248B7912" w:rsidR="00275A5E" w:rsidRPr="00275A5E" w:rsidRDefault="00275A5E" w:rsidP="00275A5E">
            <w:pPr>
              <w:pStyle w:val="Tabelid"/>
              <w:cnfStyle w:val="000000100000" w:firstRow="0" w:lastRow="0" w:firstColumn="0" w:lastColumn="0" w:oddVBand="0" w:evenVBand="0" w:oddHBand="1" w:evenHBand="0" w:firstRowFirstColumn="0" w:firstRowLastColumn="0" w:lastRowFirstColumn="0" w:lastRowLastColumn="0"/>
            </w:pPr>
            <w:r w:rsidRPr="00C850C5">
              <w:t xml:space="preserve"> 01.01.2021</w:t>
            </w:r>
          </w:p>
        </w:tc>
        <w:tc>
          <w:tcPr>
            <w:tcW w:w="1027" w:type="dxa"/>
          </w:tcPr>
          <w:p w14:paraId="4606C5AA" w14:textId="227D33BB" w:rsidR="00275A5E" w:rsidRPr="00275A5E" w:rsidRDefault="00275A5E" w:rsidP="004C5163">
            <w:pPr>
              <w:pStyle w:val="Tabelid"/>
              <w:jc w:val="right"/>
              <w:cnfStyle w:val="000000100000" w:firstRow="0" w:lastRow="0" w:firstColumn="0" w:lastColumn="0" w:oddVBand="0" w:evenVBand="0" w:oddHBand="1" w:evenHBand="0" w:firstRowFirstColumn="0" w:firstRowLastColumn="0" w:lastRowFirstColumn="0" w:lastRowLastColumn="0"/>
            </w:pPr>
            <w:r w:rsidRPr="00C40618">
              <w:t>-0,9</w:t>
            </w:r>
          </w:p>
        </w:tc>
        <w:tc>
          <w:tcPr>
            <w:tcW w:w="1418" w:type="dxa"/>
            <w:gridSpan w:val="2"/>
          </w:tcPr>
          <w:p w14:paraId="0CD9F4C9" w14:textId="38365E88" w:rsidR="00275A5E" w:rsidRPr="00275A5E" w:rsidRDefault="00275A5E" w:rsidP="004C5163">
            <w:pPr>
              <w:pStyle w:val="Tabelid"/>
              <w:jc w:val="right"/>
              <w:cnfStyle w:val="000000100000" w:firstRow="0" w:lastRow="0" w:firstColumn="0" w:lastColumn="0" w:oddVBand="0" w:evenVBand="0" w:oddHBand="1" w:evenHBand="0" w:firstRowFirstColumn="0" w:firstRowLastColumn="0" w:lastRowFirstColumn="0" w:lastRowLastColumn="0"/>
            </w:pPr>
            <w:r w:rsidRPr="00C40618">
              <w:t>0,00</w:t>
            </w:r>
          </w:p>
        </w:tc>
        <w:tc>
          <w:tcPr>
            <w:tcW w:w="1073" w:type="dxa"/>
          </w:tcPr>
          <w:p w14:paraId="20907752" w14:textId="18D559D5" w:rsidR="00275A5E" w:rsidRPr="00275A5E" w:rsidRDefault="00275A5E" w:rsidP="004C5163">
            <w:pPr>
              <w:pStyle w:val="Tabelid"/>
              <w:jc w:val="right"/>
              <w:cnfStyle w:val="000000100000" w:firstRow="0" w:lastRow="0" w:firstColumn="0" w:lastColumn="0" w:oddVBand="0" w:evenVBand="0" w:oddHBand="1" w:evenHBand="0" w:firstRowFirstColumn="0" w:firstRowLastColumn="0" w:lastRowFirstColumn="0" w:lastRowLastColumn="0"/>
            </w:pPr>
            <w:r w:rsidRPr="00C40618">
              <w:t>-0,9</w:t>
            </w:r>
          </w:p>
        </w:tc>
        <w:tc>
          <w:tcPr>
            <w:tcW w:w="1155" w:type="dxa"/>
          </w:tcPr>
          <w:p w14:paraId="613E5662" w14:textId="4BE3EC5D" w:rsidR="00275A5E" w:rsidRPr="00275A5E" w:rsidRDefault="00275A5E" w:rsidP="004C5163">
            <w:pPr>
              <w:pStyle w:val="Tabelid"/>
              <w:jc w:val="right"/>
              <w:cnfStyle w:val="000000100000" w:firstRow="0" w:lastRow="0" w:firstColumn="0" w:lastColumn="0" w:oddVBand="0" w:evenVBand="0" w:oddHBand="1" w:evenHBand="0" w:firstRowFirstColumn="0" w:firstRowLastColumn="0" w:lastRowFirstColumn="0" w:lastRowLastColumn="0"/>
            </w:pPr>
            <w:r w:rsidRPr="00C40618">
              <w:t>0,00</w:t>
            </w:r>
          </w:p>
        </w:tc>
      </w:tr>
      <w:tr w:rsidR="00275A5E" w:rsidRPr="00964E6E" w14:paraId="232A61EB" w14:textId="77777777" w:rsidTr="005150BF">
        <w:trPr>
          <w:trHeight w:val="1388"/>
        </w:trPr>
        <w:tc>
          <w:tcPr>
            <w:cnfStyle w:val="001000000000" w:firstRow="0" w:lastRow="0" w:firstColumn="1" w:lastColumn="0" w:oddVBand="0" w:evenVBand="0" w:oddHBand="0" w:evenHBand="0" w:firstRowFirstColumn="0" w:firstRowLastColumn="0" w:lastRowFirstColumn="0" w:lastRowLastColumn="0"/>
            <w:tcW w:w="3261" w:type="dxa"/>
          </w:tcPr>
          <w:p w14:paraId="18873650" w14:textId="71C806C6" w:rsidR="00275A5E" w:rsidRPr="00275A5E" w:rsidRDefault="00275A5E" w:rsidP="00275A5E">
            <w:pPr>
              <w:pStyle w:val="Tabelid"/>
            </w:pPr>
            <w:r w:rsidRPr="00275A5E">
              <w:t>Keskmise vanaduspensioni tulumaksuvabastus</w:t>
            </w:r>
          </w:p>
        </w:tc>
        <w:tc>
          <w:tcPr>
            <w:tcW w:w="1524" w:type="dxa"/>
          </w:tcPr>
          <w:p w14:paraId="163B6671" w14:textId="15B0606A" w:rsidR="00275A5E" w:rsidRPr="00275A5E" w:rsidRDefault="00275A5E" w:rsidP="00275A5E">
            <w:pPr>
              <w:pStyle w:val="Tabelid"/>
              <w:cnfStyle w:val="000000000000" w:firstRow="0" w:lastRow="0" w:firstColumn="0" w:lastColumn="0" w:oddVBand="0" w:evenVBand="0" w:oddHBand="0" w:evenHBand="0" w:firstRowFirstColumn="0" w:firstRowLastColumn="0" w:lastRowFirstColumn="0" w:lastRowLastColumn="0"/>
            </w:pPr>
            <w:r w:rsidRPr="00C850C5">
              <w:t>01.01.2023</w:t>
            </w:r>
          </w:p>
        </w:tc>
        <w:tc>
          <w:tcPr>
            <w:tcW w:w="1027" w:type="dxa"/>
          </w:tcPr>
          <w:p w14:paraId="7FD5CC8C" w14:textId="77777777" w:rsidR="00275A5E" w:rsidRPr="00275A5E" w:rsidRDefault="00275A5E" w:rsidP="004C5163">
            <w:pPr>
              <w:pStyle w:val="Tabelid"/>
              <w:jc w:val="right"/>
              <w:cnfStyle w:val="000000000000" w:firstRow="0" w:lastRow="0" w:firstColumn="0" w:lastColumn="0" w:oddVBand="0" w:evenVBand="0" w:oddHBand="0" w:evenHBand="0" w:firstRowFirstColumn="0" w:firstRowLastColumn="0" w:lastRowFirstColumn="0" w:lastRowLastColumn="0"/>
            </w:pPr>
          </w:p>
        </w:tc>
        <w:tc>
          <w:tcPr>
            <w:tcW w:w="1418" w:type="dxa"/>
            <w:gridSpan w:val="2"/>
          </w:tcPr>
          <w:p w14:paraId="48150C59" w14:textId="77777777" w:rsidR="00275A5E" w:rsidRPr="00275A5E" w:rsidRDefault="00275A5E" w:rsidP="004C5163">
            <w:pPr>
              <w:pStyle w:val="Tabelid"/>
              <w:jc w:val="right"/>
              <w:cnfStyle w:val="000000000000" w:firstRow="0" w:lastRow="0" w:firstColumn="0" w:lastColumn="0" w:oddVBand="0" w:evenVBand="0" w:oddHBand="0" w:evenHBand="0" w:firstRowFirstColumn="0" w:firstRowLastColumn="0" w:lastRowFirstColumn="0" w:lastRowLastColumn="0"/>
            </w:pPr>
          </w:p>
        </w:tc>
        <w:tc>
          <w:tcPr>
            <w:tcW w:w="1073" w:type="dxa"/>
          </w:tcPr>
          <w:p w14:paraId="6A8784FA" w14:textId="01EF772B" w:rsidR="00275A5E" w:rsidRPr="00275A5E" w:rsidRDefault="00275A5E" w:rsidP="004C5163">
            <w:pPr>
              <w:pStyle w:val="Tabelid"/>
              <w:jc w:val="right"/>
              <w:cnfStyle w:val="000000000000" w:firstRow="0" w:lastRow="0" w:firstColumn="0" w:lastColumn="0" w:oddVBand="0" w:evenVBand="0" w:oddHBand="0" w:evenHBand="0" w:firstRowFirstColumn="0" w:firstRowLastColumn="0" w:lastRowFirstColumn="0" w:lastRowLastColumn="0"/>
            </w:pPr>
            <w:r w:rsidRPr="00C40618">
              <w:t>-119,1</w:t>
            </w:r>
          </w:p>
        </w:tc>
        <w:tc>
          <w:tcPr>
            <w:tcW w:w="1155" w:type="dxa"/>
          </w:tcPr>
          <w:p w14:paraId="6C055212" w14:textId="5ABB55C1" w:rsidR="00275A5E" w:rsidRPr="00275A5E" w:rsidRDefault="00275A5E" w:rsidP="004C5163">
            <w:pPr>
              <w:pStyle w:val="Tabelid"/>
              <w:jc w:val="right"/>
              <w:cnfStyle w:val="000000000000" w:firstRow="0" w:lastRow="0" w:firstColumn="0" w:lastColumn="0" w:oddVBand="0" w:evenVBand="0" w:oddHBand="0" w:evenHBand="0" w:firstRowFirstColumn="0" w:firstRowLastColumn="0" w:lastRowFirstColumn="0" w:lastRowLastColumn="0"/>
            </w:pPr>
            <w:r w:rsidRPr="00C40618">
              <w:t>-0,35</w:t>
            </w:r>
          </w:p>
        </w:tc>
      </w:tr>
      <w:tr w:rsidR="00275A5E" w:rsidRPr="00964E6E" w14:paraId="2916D89F" w14:textId="77777777" w:rsidTr="005150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tcPr>
          <w:p w14:paraId="2BFB4512" w14:textId="49D1D07A" w:rsidR="00275A5E" w:rsidRPr="00275A5E" w:rsidRDefault="00275A5E" w:rsidP="00275A5E">
            <w:pPr>
              <w:pStyle w:val="Tabelid"/>
            </w:pPr>
            <w:r w:rsidRPr="00275A5E">
              <w:t xml:space="preserve">Sotsiaalmaksu määr SMS § 6 lõike 1 punktides 1 ja 5 sätestatud juhtudel on 20% </w:t>
            </w:r>
          </w:p>
        </w:tc>
        <w:tc>
          <w:tcPr>
            <w:tcW w:w="1524" w:type="dxa"/>
          </w:tcPr>
          <w:p w14:paraId="61958F11" w14:textId="2A6F87D1" w:rsidR="00275A5E" w:rsidRPr="00275A5E" w:rsidRDefault="00275A5E" w:rsidP="00275A5E">
            <w:pPr>
              <w:pStyle w:val="Tabelid"/>
              <w:cnfStyle w:val="000000100000" w:firstRow="0" w:lastRow="0" w:firstColumn="0" w:lastColumn="0" w:oddVBand="0" w:evenVBand="0" w:oddHBand="1" w:evenHBand="0" w:firstRowFirstColumn="0" w:firstRowLastColumn="0" w:lastRowFirstColumn="0" w:lastRowLastColumn="0"/>
            </w:pPr>
            <w:r w:rsidRPr="00C850C5">
              <w:t>01.04.2022</w:t>
            </w:r>
          </w:p>
        </w:tc>
        <w:tc>
          <w:tcPr>
            <w:tcW w:w="1027" w:type="dxa"/>
          </w:tcPr>
          <w:p w14:paraId="419E5C9D" w14:textId="5FD5C29A" w:rsidR="00275A5E" w:rsidRPr="00275A5E" w:rsidRDefault="00275A5E" w:rsidP="004C5163">
            <w:pPr>
              <w:pStyle w:val="Tabelid"/>
              <w:jc w:val="right"/>
              <w:cnfStyle w:val="000000100000" w:firstRow="0" w:lastRow="0" w:firstColumn="0" w:lastColumn="0" w:oddVBand="0" w:evenVBand="0" w:oddHBand="1" w:evenHBand="0" w:firstRowFirstColumn="0" w:firstRowLastColumn="0" w:lastRowFirstColumn="0" w:lastRowLastColumn="0"/>
            </w:pPr>
            <w:r w:rsidRPr="00C40618">
              <w:t>-44,0</w:t>
            </w:r>
          </w:p>
        </w:tc>
        <w:tc>
          <w:tcPr>
            <w:tcW w:w="1418" w:type="dxa"/>
            <w:gridSpan w:val="2"/>
          </w:tcPr>
          <w:p w14:paraId="7353B9EA" w14:textId="26977799" w:rsidR="00275A5E" w:rsidRPr="00275A5E" w:rsidRDefault="00275A5E" w:rsidP="004C5163">
            <w:pPr>
              <w:pStyle w:val="Tabelid"/>
              <w:jc w:val="right"/>
              <w:cnfStyle w:val="000000100000" w:firstRow="0" w:lastRow="0" w:firstColumn="0" w:lastColumn="0" w:oddVBand="0" w:evenVBand="0" w:oddHBand="1" w:evenHBand="0" w:firstRowFirstColumn="0" w:firstRowLastColumn="0" w:lastRowFirstColumn="0" w:lastRowLastColumn="0"/>
            </w:pPr>
            <w:r w:rsidRPr="00C40618">
              <w:t>-0,13</w:t>
            </w:r>
          </w:p>
        </w:tc>
        <w:tc>
          <w:tcPr>
            <w:tcW w:w="1073" w:type="dxa"/>
          </w:tcPr>
          <w:p w14:paraId="6E103FC4" w14:textId="1BD3E068" w:rsidR="00275A5E" w:rsidRPr="00275A5E" w:rsidRDefault="00275A5E" w:rsidP="004C5163">
            <w:pPr>
              <w:pStyle w:val="Tabelid"/>
              <w:jc w:val="right"/>
              <w:cnfStyle w:val="000000100000" w:firstRow="0" w:lastRow="0" w:firstColumn="0" w:lastColumn="0" w:oddVBand="0" w:evenVBand="0" w:oddHBand="1" w:evenHBand="0" w:firstRowFirstColumn="0" w:firstRowLastColumn="0" w:lastRowFirstColumn="0" w:lastRowLastColumn="0"/>
            </w:pPr>
            <w:r w:rsidRPr="00C40618">
              <w:t>-64,2</w:t>
            </w:r>
          </w:p>
        </w:tc>
        <w:tc>
          <w:tcPr>
            <w:tcW w:w="1155" w:type="dxa"/>
          </w:tcPr>
          <w:p w14:paraId="006B227D" w14:textId="2A54B59F" w:rsidR="00275A5E" w:rsidRPr="00275A5E" w:rsidRDefault="00275A5E" w:rsidP="004C5163">
            <w:pPr>
              <w:pStyle w:val="Tabelid"/>
              <w:jc w:val="right"/>
              <w:cnfStyle w:val="000000100000" w:firstRow="0" w:lastRow="0" w:firstColumn="0" w:lastColumn="0" w:oddVBand="0" w:evenVBand="0" w:oddHBand="1" w:evenHBand="0" w:firstRowFirstColumn="0" w:firstRowLastColumn="0" w:lastRowFirstColumn="0" w:lastRowLastColumn="0"/>
            </w:pPr>
            <w:r w:rsidRPr="00C40618">
              <w:t>-0,19</w:t>
            </w:r>
          </w:p>
        </w:tc>
      </w:tr>
      <w:tr w:rsidR="00275A5E" w:rsidRPr="00964E6E" w14:paraId="136AF013" w14:textId="77777777" w:rsidTr="005150BF">
        <w:trPr>
          <w:trHeight w:val="831"/>
        </w:trPr>
        <w:tc>
          <w:tcPr>
            <w:cnfStyle w:val="001000000000" w:firstRow="0" w:lastRow="0" w:firstColumn="1" w:lastColumn="0" w:oddVBand="0" w:evenVBand="0" w:oddHBand="0" w:evenHBand="0" w:firstRowFirstColumn="0" w:firstRowLastColumn="0" w:lastRowFirstColumn="0" w:lastRowLastColumn="0"/>
            <w:tcW w:w="3261" w:type="dxa"/>
          </w:tcPr>
          <w:p w14:paraId="6C8122FA" w14:textId="21F9B237" w:rsidR="00275A5E" w:rsidRPr="00275A5E" w:rsidRDefault="00275A5E" w:rsidP="00275A5E">
            <w:pPr>
              <w:pStyle w:val="Tabelid"/>
            </w:pPr>
            <w:r w:rsidRPr="00275A5E">
              <w:t>Sigarettide aktsiisi tõstmine 2022-2023 5% aastas ja suitsetamistubaka aktsiisi tõstmine 2022-2023 5% aastas</w:t>
            </w:r>
          </w:p>
        </w:tc>
        <w:tc>
          <w:tcPr>
            <w:tcW w:w="1524" w:type="dxa"/>
          </w:tcPr>
          <w:p w14:paraId="0B3971F1" w14:textId="77777777" w:rsidR="00275A5E" w:rsidRDefault="00275A5E" w:rsidP="00275A5E">
            <w:pPr>
              <w:pStyle w:val="Tabelid"/>
              <w:cnfStyle w:val="000000000000" w:firstRow="0" w:lastRow="0" w:firstColumn="0" w:lastColumn="0" w:oddVBand="0" w:evenVBand="0" w:oddHBand="0" w:evenHBand="0" w:firstRowFirstColumn="0" w:firstRowLastColumn="0" w:lastRowFirstColumn="0" w:lastRowLastColumn="0"/>
            </w:pPr>
            <w:r w:rsidRPr="00C850C5">
              <w:t>1.01.2022;</w:t>
            </w:r>
          </w:p>
          <w:p w14:paraId="3127C6A5" w14:textId="6CED0256" w:rsidR="00AB2C28" w:rsidRPr="00275A5E" w:rsidRDefault="00AB2C28" w:rsidP="00275A5E">
            <w:pPr>
              <w:pStyle w:val="Tabelid"/>
              <w:cnfStyle w:val="000000000000" w:firstRow="0" w:lastRow="0" w:firstColumn="0" w:lastColumn="0" w:oddVBand="0" w:evenVBand="0" w:oddHBand="0" w:evenHBand="0" w:firstRowFirstColumn="0" w:firstRowLastColumn="0" w:lastRowFirstColumn="0" w:lastRowLastColumn="0"/>
            </w:pPr>
            <w:r>
              <w:t>1.01.2023</w:t>
            </w:r>
          </w:p>
        </w:tc>
        <w:tc>
          <w:tcPr>
            <w:tcW w:w="1027" w:type="dxa"/>
          </w:tcPr>
          <w:p w14:paraId="5DFC86E0" w14:textId="0EC86550" w:rsidR="00275A5E" w:rsidRPr="00275A5E" w:rsidRDefault="00275A5E" w:rsidP="004C5163">
            <w:pPr>
              <w:pStyle w:val="Tabelid"/>
              <w:jc w:val="right"/>
              <w:cnfStyle w:val="000000000000" w:firstRow="0" w:lastRow="0" w:firstColumn="0" w:lastColumn="0" w:oddVBand="0" w:evenVBand="0" w:oddHBand="0" w:evenHBand="0" w:firstRowFirstColumn="0" w:firstRowLastColumn="0" w:lastRowFirstColumn="0" w:lastRowLastColumn="0"/>
            </w:pPr>
            <w:r w:rsidRPr="00C40618">
              <w:t>10,2</w:t>
            </w:r>
          </w:p>
        </w:tc>
        <w:tc>
          <w:tcPr>
            <w:tcW w:w="1418" w:type="dxa"/>
            <w:gridSpan w:val="2"/>
          </w:tcPr>
          <w:p w14:paraId="3BCF1E89" w14:textId="38E36BA8" w:rsidR="00275A5E" w:rsidRPr="00275A5E" w:rsidRDefault="00275A5E" w:rsidP="004C5163">
            <w:pPr>
              <w:pStyle w:val="Tabelid"/>
              <w:jc w:val="right"/>
              <w:cnfStyle w:val="000000000000" w:firstRow="0" w:lastRow="0" w:firstColumn="0" w:lastColumn="0" w:oddVBand="0" w:evenVBand="0" w:oddHBand="0" w:evenHBand="0" w:firstRowFirstColumn="0" w:firstRowLastColumn="0" w:lastRowFirstColumn="0" w:lastRowLastColumn="0"/>
            </w:pPr>
            <w:r w:rsidRPr="00C40618">
              <w:t>0,03</w:t>
            </w:r>
          </w:p>
        </w:tc>
        <w:tc>
          <w:tcPr>
            <w:tcW w:w="1073" w:type="dxa"/>
          </w:tcPr>
          <w:p w14:paraId="13D33B79" w14:textId="07A5CB59" w:rsidR="00275A5E" w:rsidRPr="00275A5E" w:rsidRDefault="00275A5E" w:rsidP="004C5163">
            <w:pPr>
              <w:pStyle w:val="Tabelid"/>
              <w:jc w:val="right"/>
              <w:cnfStyle w:val="000000000000" w:firstRow="0" w:lastRow="0" w:firstColumn="0" w:lastColumn="0" w:oddVBand="0" w:evenVBand="0" w:oddHBand="0" w:evenHBand="0" w:firstRowFirstColumn="0" w:firstRowLastColumn="0" w:lastRowFirstColumn="0" w:lastRowLastColumn="0"/>
            </w:pPr>
            <w:r w:rsidRPr="00C40618">
              <w:t>19,0</w:t>
            </w:r>
          </w:p>
        </w:tc>
        <w:tc>
          <w:tcPr>
            <w:tcW w:w="1155" w:type="dxa"/>
          </w:tcPr>
          <w:p w14:paraId="299D524C" w14:textId="7E76DB76" w:rsidR="00275A5E" w:rsidRPr="00275A5E" w:rsidRDefault="00275A5E" w:rsidP="004C5163">
            <w:pPr>
              <w:pStyle w:val="Tabelid"/>
              <w:jc w:val="right"/>
              <w:cnfStyle w:val="000000000000" w:firstRow="0" w:lastRow="0" w:firstColumn="0" w:lastColumn="0" w:oddVBand="0" w:evenVBand="0" w:oddHBand="0" w:evenHBand="0" w:firstRowFirstColumn="0" w:firstRowLastColumn="0" w:lastRowFirstColumn="0" w:lastRowLastColumn="0"/>
            </w:pPr>
            <w:r w:rsidRPr="00C40618">
              <w:t>0,06</w:t>
            </w:r>
          </w:p>
        </w:tc>
      </w:tr>
      <w:tr w:rsidR="00275A5E" w:rsidRPr="00964E6E" w14:paraId="3E081997" w14:textId="77777777" w:rsidTr="005150BF">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261" w:type="dxa"/>
          </w:tcPr>
          <w:p w14:paraId="0888C0CD" w14:textId="615584E8" w:rsidR="00275A5E" w:rsidRPr="00275A5E" w:rsidRDefault="00275A5E" w:rsidP="00275A5E">
            <w:pPr>
              <w:pStyle w:val="Tabelid"/>
            </w:pPr>
            <w:r w:rsidRPr="00275A5E">
              <w:t xml:space="preserve">Tubakaaktsiisi tasumise kohustuse peatamine tubakavedelikelt </w:t>
            </w:r>
          </w:p>
        </w:tc>
        <w:tc>
          <w:tcPr>
            <w:tcW w:w="1524" w:type="dxa"/>
          </w:tcPr>
          <w:p w14:paraId="57DD7995" w14:textId="6AEAA717" w:rsidR="00275A5E" w:rsidRPr="00275A5E" w:rsidRDefault="00AB2C28" w:rsidP="00275A5E">
            <w:pPr>
              <w:pStyle w:val="Tabelid"/>
              <w:cnfStyle w:val="000000100000" w:firstRow="0" w:lastRow="0" w:firstColumn="0" w:lastColumn="0" w:oddVBand="0" w:evenVBand="0" w:oddHBand="1" w:evenHBand="0" w:firstRowFirstColumn="0" w:firstRowLastColumn="0" w:lastRowFirstColumn="0" w:lastRowLastColumn="0"/>
            </w:pPr>
            <w:r>
              <w:t>0</w:t>
            </w:r>
            <w:r w:rsidRPr="00C850C5">
              <w:t>1.04.2021-31.12.2022</w:t>
            </w:r>
          </w:p>
        </w:tc>
        <w:tc>
          <w:tcPr>
            <w:tcW w:w="1027" w:type="dxa"/>
          </w:tcPr>
          <w:p w14:paraId="668E2D75" w14:textId="30CE3EAC" w:rsidR="00275A5E" w:rsidRPr="00275A5E" w:rsidRDefault="00275A5E" w:rsidP="004C5163">
            <w:pPr>
              <w:pStyle w:val="Tabelid"/>
              <w:jc w:val="right"/>
              <w:cnfStyle w:val="000000100000" w:firstRow="0" w:lastRow="0" w:firstColumn="0" w:lastColumn="0" w:oddVBand="0" w:evenVBand="0" w:oddHBand="1" w:evenHBand="0" w:firstRowFirstColumn="0" w:firstRowLastColumn="0" w:lastRowFirstColumn="0" w:lastRowLastColumn="0"/>
            </w:pPr>
            <w:r w:rsidRPr="00C40618">
              <w:t>-1,7</w:t>
            </w:r>
          </w:p>
        </w:tc>
        <w:tc>
          <w:tcPr>
            <w:tcW w:w="1418" w:type="dxa"/>
            <w:gridSpan w:val="2"/>
          </w:tcPr>
          <w:p w14:paraId="7772CF1F" w14:textId="73470940" w:rsidR="00275A5E" w:rsidRPr="00275A5E" w:rsidRDefault="00275A5E" w:rsidP="004C5163">
            <w:pPr>
              <w:pStyle w:val="Tabelid"/>
              <w:jc w:val="right"/>
              <w:cnfStyle w:val="000000100000" w:firstRow="0" w:lastRow="0" w:firstColumn="0" w:lastColumn="0" w:oddVBand="0" w:evenVBand="0" w:oddHBand="1" w:evenHBand="0" w:firstRowFirstColumn="0" w:firstRowLastColumn="0" w:lastRowFirstColumn="0" w:lastRowLastColumn="0"/>
            </w:pPr>
            <w:r w:rsidRPr="00C40618">
              <w:t>-0,01</w:t>
            </w:r>
          </w:p>
        </w:tc>
        <w:tc>
          <w:tcPr>
            <w:tcW w:w="1073" w:type="dxa"/>
          </w:tcPr>
          <w:p w14:paraId="0A80CE81" w14:textId="212EDC38" w:rsidR="00275A5E" w:rsidRPr="00275A5E" w:rsidRDefault="00275A5E" w:rsidP="004C5163">
            <w:pPr>
              <w:pStyle w:val="Tabelid"/>
              <w:jc w:val="right"/>
              <w:cnfStyle w:val="000000100000" w:firstRow="0" w:lastRow="0" w:firstColumn="0" w:lastColumn="0" w:oddVBand="0" w:evenVBand="0" w:oddHBand="1" w:evenHBand="0" w:firstRowFirstColumn="0" w:firstRowLastColumn="0" w:lastRowFirstColumn="0" w:lastRowLastColumn="0"/>
            </w:pPr>
          </w:p>
        </w:tc>
        <w:tc>
          <w:tcPr>
            <w:tcW w:w="1155" w:type="dxa"/>
          </w:tcPr>
          <w:p w14:paraId="0A7ED042" w14:textId="78D51260" w:rsidR="00275A5E" w:rsidRPr="00275A5E" w:rsidRDefault="00275A5E" w:rsidP="004C5163">
            <w:pPr>
              <w:pStyle w:val="Tabelid"/>
              <w:jc w:val="right"/>
              <w:cnfStyle w:val="000000100000" w:firstRow="0" w:lastRow="0" w:firstColumn="0" w:lastColumn="0" w:oddVBand="0" w:evenVBand="0" w:oddHBand="1" w:evenHBand="0" w:firstRowFirstColumn="0" w:firstRowLastColumn="0" w:lastRowFirstColumn="0" w:lastRowLastColumn="0"/>
            </w:pPr>
          </w:p>
        </w:tc>
      </w:tr>
      <w:tr w:rsidR="00275A5E" w:rsidRPr="00964E6E" w14:paraId="610112ED" w14:textId="77777777" w:rsidTr="005150BF">
        <w:trPr>
          <w:trHeight w:val="601"/>
        </w:trPr>
        <w:tc>
          <w:tcPr>
            <w:cnfStyle w:val="001000000000" w:firstRow="0" w:lastRow="0" w:firstColumn="1" w:lastColumn="0" w:oddVBand="0" w:evenVBand="0" w:oddHBand="0" w:evenHBand="0" w:firstRowFirstColumn="0" w:firstRowLastColumn="0" w:lastRowFirstColumn="0" w:lastRowLastColumn="0"/>
            <w:tcW w:w="3261" w:type="dxa"/>
          </w:tcPr>
          <w:p w14:paraId="57CA96BD" w14:textId="19F71A95" w:rsidR="00275A5E" w:rsidRPr="00275A5E" w:rsidRDefault="00275A5E" w:rsidP="00275A5E">
            <w:pPr>
              <w:pStyle w:val="Tabelid"/>
            </w:pPr>
            <w:r w:rsidRPr="00275A5E">
              <w:t xml:space="preserve">Kütuse- ja elektriaktsiisimäärade </w:t>
            </w:r>
            <w:proofErr w:type="spellStart"/>
            <w:r w:rsidRPr="00275A5E">
              <w:t>astemline</w:t>
            </w:r>
            <w:proofErr w:type="spellEnd"/>
            <w:r w:rsidRPr="00275A5E">
              <w:t xml:space="preserve"> tõstmine 4 aasta </w:t>
            </w:r>
            <w:proofErr w:type="spellStart"/>
            <w:r w:rsidRPr="00275A5E">
              <w:t>jookusl</w:t>
            </w:r>
            <w:proofErr w:type="spellEnd"/>
            <w:r w:rsidRPr="00275A5E">
              <w:t xml:space="preserve"> alates 2023. aasta maist </w:t>
            </w:r>
          </w:p>
        </w:tc>
        <w:tc>
          <w:tcPr>
            <w:tcW w:w="1524" w:type="dxa"/>
          </w:tcPr>
          <w:p w14:paraId="1205A52F" w14:textId="53A65398" w:rsidR="00275A5E" w:rsidRPr="00275A5E" w:rsidRDefault="00AB2C28" w:rsidP="00275A5E">
            <w:pPr>
              <w:pStyle w:val="Tabelid"/>
              <w:cnfStyle w:val="000000000000" w:firstRow="0" w:lastRow="0" w:firstColumn="0" w:lastColumn="0" w:oddVBand="0" w:evenVBand="0" w:oddHBand="0" w:evenHBand="0" w:firstRowFirstColumn="0" w:firstRowLastColumn="0" w:lastRowFirstColumn="0" w:lastRowLastColumn="0"/>
            </w:pPr>
            <w:r>
              <w:t>01.05.2023</w:t>
            </w:r>
          </w:p>
        </w:tc>
        <w:tc>
          <w:tcPr>
            <w:tcW w:w="1027" w:type="dxa"/>
          </w:tcPr>
          <w:p w14:paraId="7D9EAB5A" w14:textId="08FC1243" w:rsidR="00275A5E" w:rsidRPr="00275A5E" w:rsidRDefault="00275A5E" w:rsidP="004C5163">
            <w:pPr>
              <w:pStyle w:val="Tabelid"/>
              <w:jc w:val="right"/>
              <w:cnfStyle w:val="000000000000" w:firstRow="0" w:lastRow="0" w:firstColumn="0" w:lastColumn="0" w:oddVBand="0" w:evenVBand="0" w:oddHBand="0" w:evenHBand="0" w:firstRowFirstColumn="0" w:firstRowLastColumn="0" w:lastRowFirstColumn="0" w:lastRowLastColumn="0"/>
            </w:pPr>
          </w:p>
        </w:tc>
        <w:tc>
          <w:tcPr>
            <w:tcW w:w="1418" w:type="dxa"/>
            <w:gridSpan w:val="2"/>
          </w:tcPr>
          <w:p w14:paraId="4B208D23" w14:textId="2EE1014F" w:rsidR="00275A5E" w:rsidRPr="00275A5E" w:rsidRDefault="00275A5E" w:rsidP="004C5163">
            <w:pPr>
              <w:pStyle w:val="Tabelid"/>
              <w:jc w:val="right"/>
              <w:cnfStyle w:val="000000000000" w:firstRow="0" w:lastRow="0" w:firstColumn="0" w:lastColumn="0" w:oddVBand="0" w:evenVBand="0" w:oddHBand="0" w:evenHBand="0" w:firstRowFirstColumn="0" w:firstRowLastColumn="0" w:lastRowFirstColumn="0" w:lastRowLastColumn="0"/>
            </w:pPr>
          </w:p>
        </w:tc>
        <w:tc>
          <w:tcPr>
            <w:tcW w:w="1073" w:type="dxa"/>
          </w:tcPr>
          <w:p w14:paraId="3AD351DB" w14:textId="073AC202" w:rsidR="00275A5E" w:rsidRPr="00275A5E" w:rsidRDefault="00275A5E" w:rsidP="004C5163">
            <w:pPr>
              <w:pStyle w:val="Tabelid"/>
              <w:jc w:val="right"/>
              <w:cnfStyle w:val="000000000000" w:firstRow="0" w:lastRow="0" w:firstColumn="0" w:lastColumn="0" w:oddVBand="0" w:evenVBand="0" w:oddHBand="0" w:evenHBand="0" w:firstRowFirstColumn="0" w:firstRowLastColumn="0" w:lastRowFirstColumn="0" w:lastRowLastColumn="0"/>
            </w:pPr>
            <w:r w:rsidRPr="00C40618">
              <w:t>4,1</w:t>
            </w:r>
          </w:p>
        </w:tc>
        <w:tc>
          <w:tcPr>
            <w:tcW w:w="1155" w:type="dxa"/>
          </w:tcPr>
          <w:p w14:paraId="57F805BD" w14:textId="74316D9D" w:rsidR="00275A5E" w:rsidRPr="00275A5E" w:rsidRDefault="00275A5E" w:rsidP="004C5163">
            <w:pPr>
              <w:pStyle w:val="Tabelid"/>
              <w:jc w:val="right"/>
              <w:cnfStyle w:val="000000000000" w:firstRow="0" w:lastRow="0" w:firstColumn="0" w:lastColumn="0" w:oddVBand="0" w:evenVBand="0" w:oddHBand="0" w:evenHBand="0" w:firstRowFirstColumn="0" w:firstRowLastColumn="0" w:lastRowFirstColumn="0" w:lastRowLastColumn="0"/>
            </w:pPr>
            <w:r w:rsidRPr="00C40618">
              <w:t>0,01</w:t>
            </w:r>
          </w:p>
        </w:tc>
      </w:tr>
      <w:tr w:rsidR="00275A5E" w:rsidRPr="00964E6E" w14:paraId="7304C009" w14:textId="77777777" w:rsidTr="005150BF">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261" w:type="dxa"/>
          </w:tcPr>
          <w:p w14:paraId="01400430" w14:textId="633968AA" w:rsidR="00275A5E" w:rsidRPr="00275A5E" w:rsidRDefault="00275A5E" w:rsidP="00275A5E">
            <w:pPr>
              <w:pStyle w:val="Tabelid"/>
            </w:pPr>
            <w:r w:rsidRPr="00275A5E">
              <w:t>KMS § 29 lõige 14, lootusetud nõuded - osaliselt või täielikult tasumata arvetega seotud käibemaksuarvestuse korra muudatus</w:t>
            </w:r>
          </w:p>
        </w:tc>
        <w:tc>
          <w:tcPr>
            <w:tcW w:w="1524" w:type="dxa"/>
          </w:tcPr>
          <w:p w14:paraId="0FED631B" w14:textId="040DDA6D" w:rsidR="00275A5E" w:rsidRPr="00275A5E" w:rsidRDefault="00275A5E" w:rsidP="00275A5E">
            <w:pPr>
              <w:pStyle w:val="Tabelid"/>
              <w:cnfStyle w:val="000000100000" w:firstRow="0" w:lastRow="0" w:firstColumn="0" w:lastColumn="0" w:oddVBand="0" w:evenVBand="0" w:oddHBand="1" w:evenHBand="0" w:firstRowFirstColumn="0" w:firstRowLastColumn="0" w:lastRowFirstColumn="0" w:lastRowLastColumn="0"/>
            </w:pPr>
            <w:r w:rsidRPr="00C850C5">
              <w:t>01.05</w:t>
            </w:r>
            <w:r w:rsidR="00AB2C28">
              <w:t>1.2022</w:t>
            </w:r>
          </w:p>
        </w:tc>
        <w:tc>
          <w:tcPr>
            <w:tcW w:w="1027" w:type="dxa"/>
          </w:tcPr>
          <w:p w14:paraId="20FFC918" w14:textId="2747044B" w:rsidR="00275A5E" w:rsidRPr="00275A5E" w:rsidRDefault="00275A5E" w:rsidP="004C5163">
            <w:pPr>
              <w:pStyle w:val="Tabelid"/>
              <w:jc w:val="right"/>
              <w:cnfStyle w:val="000000100000" w:firstRow="0" w:lastRow="0" w:firstColumn="0" w:lastColumn="0" w:oddVBand="0" w:evenVBand="0" w:oddHBand="1" w:evenHBand="0" w:firstRowFirstColumn="0" w:firstRowLastColumn="0" w:lastRowFirstColumn="0" w:lastRowLastColumn="0"/>
            </w:pPr>
            <w:r w:rsidRPr="00C40618">
              <w:t>-15,0</w:t>
            </w:r>
          </w:p>
        </w:tc>
        <w:tc>
          <w:tcPr>
            <w:tcW w:w="1418" w:type="dxa"/>
            <w:gridSpan w:val="2"/>
          </w:tcPr>
          <w:p w14:paraId="0FD26B3C" w14:textId="6A7C6638" w:rsidR="00275A5E" w:rsidRPr="00275A5E" w:rsidRDefault="00275A5E" w:rsidP="004C5163">
            <w:pPr>
              <w:pStyle w:val="Tabelid"/>
              <w:jc w:val="right"/>
              <w:cnfStyle w:val="000000100000" w:firstRow="0" w:lastRow="0" w:firstColumn="0" w:lastColumn="0" w:oddVBand="0" w:evenVBand="0" w:oddHBand="1" w:evenHBand="0" w:firstRowFirstColumn="0" w:firstRowLastColumn="0" w:lastRowFirstColumn="0" w:lastRowLastColumn="0"/>
            </w:pPr>
            <w:r w:rsidRPr="00C40618">
              <w:t>-0,05</w:t>
            </w:r>
          </w:p>
        </w:tc>
        <w:tc>
          <w:tcPr>
            <w:tcW w:w="1073" w:type="dxa"/>
          </w:tcPr>
          <w:p w14:paraId="16689FE6" w14:textId="416A5C4B" w:rsidR="00275A5E" w:rsidRPr="00275A5E" w:rsidRDefault="00275A5E" w:rsidP="004C5163">
            <w:pPr>
              <w:pStyle w:val="Tabelid"/>
              <w:jc w:val="right"/>
              <w:cnfStyle w:val="000000100000" w:firstRow="0" w:lastRow="0" w:firstColumn="0" w:lastColumn="0" w:oddVBand="0" w:evenVBand="0" w:oddHBand="1" w:evenHBand="0" w:firstRowFirstColumn="0" w:firstRowLastColumn="0" w:lastRowFirstColumn="0" w:lastRowLastColumn="0"/>
            </w:pPr>
            <w:r w:rsidRPr="00C40618">
              <w:t>-15,0</w:t>
            </w:r>
          </w:p>
        </w:tc>
        <w:tc>
          <w:tcPr>
            <w:tcW w:w="1155" w:type="dxa"/>
          </w:tcPr>
          <w:p w14:paraId="46CAF423" w14:textId="28637CF1" w:rsidR="00275A5E" w:rsidRPr="00275A5E" w:rsidRDefault="00275A5E" w:rsidP="004C5163">
            <w:pPr>
              <w:pStyle w:val="Tabelid"/>
              <w:jc w:val="right"/>
              <w:cnfStyle w:val="000000100000" w:firstRow="0" w:lastRow="0" w:firstColumn="0" w:lastColumn="0" w:oddVBand="0" w:evenVBand="0" w:oddHBand="1" w:evenHBand="0" w:firstRowFirstColumn="0" w:firstRowLastColumn="0" w:lastRowFirstColumn="0" w:lastRowLastColumn="0"/>
            </w:pPr>
            <w:r w:rsidRPr="00C40618">
              <w:t>-0,05</w:t>
            </w:r>
          </w:p>
        </w:tc>
      </w:tr>
      <w:tr w:rsidR="00275A5E" w:rsidRPr="00964E6E" w14:paraId="6864EF9A" w14:textId="77777777" w:rsidTr="005150BF">
        <w:trPr>
          <w:trHeight w:val="555"/>
        </w:trPr>
        <w:tc>
          <w:tcPr>
            <w:cnfStyle w:val="001000000000" w:firstRow="0" w:lastRow="0" w:firstColumn="1" w:lastColumn="0" w:oddVBand="0" w:evenVBand="0" w:oddHBand="0" w:evenHBand="0" w:firstRowFirstColumn="0" w:firstRowLastColumn="0" w:lastRowFirstColumn="0" w:lastRowLastColumn="0"/>
            <w:tcW w:w="3261" w:type="dxa"/>
          </w:tcPr>
          <w:p w14:paraId="18480F36" w14:textId="0ECB99C0" w:rsidR="00275A5E" w:rsidRPr="00275A5E" w:rsidRDefault="00275A5E" w:rsidP="00275A5E">
            <w:pPr>
              <w:pStyle w:val="Tabelid"/>
            </w:pPr>
            <w:r w:rsidRPr="00275A5E">
              <w:t>KMS muudatus, millega viiakse meenemüntide (meene- ja investeeringumündid) maksustamine vastavusse käibemaksudirektiivis sätestatuga</w:t>
            </w:r>
          </w:p>
        </w:tc>
        <w:tc>
          <w:tcPr>
            <w:tcW w:w="1524" w:type="dxa"/>
          </w:tcPr>
          <w:p w14:paraId="1F7C3A80" w14:textId="51E9A367" w:rsidR="00275A5E" w:rsidRPr="00275A5E" w:rsidRDefault="00275A5E" w:rsidP="00275A5E">
            <w:pPr>
              <w:pStyle w:val="Tabelid"/>
              <w:cnfStyle w:val="000000000000" w:firstRow="0" w:lastRow="0" w:firstColumn="0" w:lastColumn="0" w:oddVBand="0" w:evenVBand="0" w:oddHBand="0" w:evenHBand="0" w:firstRowFirstColumn="0" w:firstRowLastColumn="0" w:lastRowFirstColumn="0" w:lastRowLastColumn="0"/>
            </w:pPr>
            <w:r w:rsidRPr="00C850C5">
              <w:t>01.0</w:t>
            </w:r>
            <w:r w:rsidR="00AB2C28">
              <w:t>7</w:t>
            </w:r>
            <w:r w:rsidRPr="00C850C5">
              <w:t>.2022</w:t>
            </w:r>
          </w:p>
        </w:tc>
        <w:tc>
          <w:tcPr>
            <w:tcW w:w="1027" w:type="dxa"/>
          </w:tcPr>
          <w:p w14:paraId="7BDCF698" w14:textId="0BBCFF46" w:rsidR="00275A5E" w:rsidRPr="00275A5E" w:rsidRDefault="00275A5E" w:rsidP="004C5163">
            <w:pPr>
              <w:pStyle w:val="Tabelid"/>
              <w:jc w:val="right"/>
              <w:cnfStyle w:val="000000000000" w:firstRow="0" w:lastRow="0" w:firstColumn="0" w:lastColumn="0" w:oddVBand="0" w:evenVBand="0" w:oddHBand="0" w:evenHBand="0" w:firstRowFirstColumn="0" w:firstRowLastColumn="0" w:lastRowFirstColumn="0" w:lastRowLastColumn="0"/>
            </w:pPr>
            <w:r w:rsidRPr="00C40618">
              <w:t>0,3</w:t>
            </w:r>
          </w:p>
        </w:tc>
        <w:tc>
          <w:tcPr>
            <w:tcW w:w="1418" w:type="dxa"/>
            <w:gridSpan w:val="2"/>
          </w:tcPr>
          <w:p w14:paraId="66ED2AF7" w14:textId="6C99CC1C" w:rsidR="00275A5E" w:rsidRPr="00275A5E" w:rsidRDefault="00275A5E" w:rsidP="004C5163">
            <w:pPr>
              <w:pStyle w:val="Tabelid"/>
              <w:jc w:val="right"/>
              <w:cnfStyle w:val="000000000000" w:firstRow="0" w:lastRow="0" w:firstColumn="0" w:lastColumn="0" w:oddVBand="0" w:evenVBand="0" w:oddHBand="0" w:evenHBand="0" w:firstRowFirstColumn="0" w:firstRowLastColumn="0" w:lastRowFirstColumn="0" w:lastRowLastColumn="0"/>
            </w:pPr>
            <w:r w:rsidRPr="00C40618">
              <w:t>0,00</w:t>
            </w:r>
          </w:p>
        </w:tc>
        <w:tc>
          <w:tcPr>
            <w:tcW w:w="1073" w:type="dxa"/>
          </w:tcPr>
          <w:p w14:paraId="3396286A" w14:textId="63384A67" w:rsidR="00275A5E" w:rsidRPr="00275A5E" w:rsidRDefault="00275A5E" w:rsidP="004C5163">
            <w:pPr>
              <w:pStyle w:val="Tabelid"/>
              <w:jc w:val="right"/>
              <w:cnfStyle w:val="000000000000" w:firstRow="0" w:lastRow="0" w:firstColumn="0" w:lastColumn="0" w:oddVBand="0" w:evenVBand="0" w:oddHBand="0" w:evenHBand="0" w:firstRowFirstColumn="0" w:firstRowLastColumn="0" w:lastRowFirstColumn="0" w:lastRowLastColumn="0"/>
            </w:pPr>
            <w:r w:rsidRPr="00C40618">
              <w:t>0,6</w:t>
            </w:r>
          </w:p>
        </w:tc>
        <w:tc>
          <w:tcPr>
            <w:tcW w:w="1155" w:type="dxa"/>
          </w:tcPr>
          <w:p w14:paraId="22992674" w14:textId="018B318E" w:rsidR="00275A5E" w:rsidRPr="00275A5E" w:rsidRDefault="00275A5E" w:rsidP="004C5163">
            <w:pPr>
              <w:pStyle w:val="Tabelid"/>
              <w:jc w:val="right"/>
              <w:cnfStyle w:val="000000000000" w:firstRow="0" w:lastRow="0" w:firstColumn="0" w:lastColumn="0" w:oddVBand="0" w:evenVBand="0" w:oddHBand="0" w:evenHBand="0" w:firstRowFirstColumn="0" w:firstRowLastColumn="0" w:lastRowFirstColumn="0" w:lastRowLastColumn="0"/>
            </w:pPr>
            <w:r w:rsidRPr="00C40618">
              <w:t>0,00</w:t>
            </w:r>
          </w:p>
        </w:tc>
      </w:tr>
      <w:tr w:rsidR="00275A5E" w:rsidRPr="00964E6E" w14:paraId="07C4DD51" w14:textId="77777777" w:rsidTr="005150BF">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3261" w:type="dxa"/>
          </w:tcPr>
          <w:p w14:paraId="0348E162" w14:textId="38147FEA" w:rsidR="00275A5E" w:rsidRPr="00275A5E" w:rsidRDefault="00275A5E" w:rsidP="00275A5E">
            <w:pPr>
              <w:pStyle w:val="Tabelid"/>
            </w:pPr>
            <w:proofErr w:type="spellStart"/>
            <w:r w:rsidRPr="00275A5E">
              <w:t>HasMMSi</w:t>
            </w:r>
            <w:proofErr w:type="spellEnd"/>
            <w:r w:rsidRPr="00275A5E">
              <w:t xml:space="preserve"> muudatus, mille kohaselt ei jagata neljale ministeeriumile (SOM, KUM, HTM, RAM) hasartmängumaksu enam </w:t>
            </w:r>
            <w:proofErr w:type="spellStart"/>
            <w:r w:rsidRPr="00275A5E">
              <w:t>HasMMSis</w:t>
            </w:r>
            <w:proofErr w:type="spellEnd"/>
            <w:r w:rsidRPr="00275A5E">
              <w:t xml:space="preserve"> sätestatud protsendina laekunud maksust, puudutab perioodi 2022-2025 </w:t>
            </w:r>
          </w:p>
        </w:tc>
        <w:tc>
          <w:tcPr>
            <w:tcW w:w="1524" w:type="dxa"/>
          </w:tcPr>
          <w:p w14:paraId="1DFB1870" w14:textId="12DB6B90" w:rsidR="00275A5E" w:rsidRPr="00275A5E" w:rsidRDefault="00275A5E" w:rsidP="00275A5E">
            <w:pPr>
              <w:pStyle w:val="Tabelid"/>
              <w:cnfStyle w:val="000000100000" w:firstRow="0" w:lastRow="0" w:firstColumn="0" w:lastColumn="0" w:oddVBand="0" w:evenVBand="0" w:oddHBand="1" w:evenHBand="0" w:firstRowFirstColumn="0" w:firstRowLastColumn="0" w:lastRowFirstColumn="0" w:lastRowLastColumn="0"/>
            </w:pPr>
            <w:r w:rsidRPr="00C850C5">
              <w:t>01.0</w:t>
            </w:r>
            <w:r w:rsidR="00AB2C28">
              <w:t>1</w:t>
            </w:r>
            <w:r w:rsidRPr="00C850C5">
              <w:t>.2022</w:t>
            </w:r>
          </w:p>
        </w:tc>
        <w:tc>
          <w:tcPr>
            <w:tcW w:w="1027" w:type="dxa"/>
          </w:tcPr>
          <w:p w14:paraId="44E53E22" w14:textId="53F8C9C9" w:rsidR="00275A5E" w:rsidRPr="00275A5E" w:rsidRDefault="00275A5E" w:rsidP="004C5163">
            <w:pPr>
              <w:pStyle w:val="Tabelid"/>
              <w:jc w:val="right"/>
              <w:cnfStyle w:val="000000100000" w:firstRow="0" w:lastRow="0" w:firstColumn="0" w:lastColumn="0" w:oddVBand="0" w:evenVBand="0" w:oddHBand="1" w:evenHBand="0" w:firstRowFirstColumn="0" w:firstRowLastColumn="0" w:lastRowFirstColumn="0" w:lastRowLastColumn="0"/>
            </w:pPr>
            <w:r w:rsidRPr="00C40618">
              <w:t>1,4</w:t>
            </w:r>
          </w:p>
        </w:tc>
        <w:tc>
          <w:tcPr>
            <w:tcW w:w="1418" w:type="dxa"/>
            <w:gridSpan w:val="2"/>
          </w:tcPr>
          <w:p w14:paraId="298D66BC" w14:textId="0A61FC84" w:rsidR="00275A5E" w:rsidRPr="00275A5E" w:rsidRDefault="00275A5E" w:rsidP="004C5163">
            <w:pPr>
              <w:pStyle w:val="Tabelid"/>
              <w:jc w:val="right"/>
              <w:cnfStyle w:val="000000100000" w:firstRow="0" w:lastRow="0" w:firstColumn="0" w:lastColumn="0" w:oddVBand="0" w:evenVBand="0" w:oddHBand="1" w:evenHBand="0" w:firstRowFirstColumn="0" w:firstRowLastColumn="0" w:lastRowFirstColumn="0" w:lastRowLastColumn="0"/>
            </w:pPr>
            <w:r w:rsidRPr="00C40618">
              <w:t>0,00</w:t>
            </w:r>
          </w:p>
        </w:tc>
        <w:tc>
          <w:tcPr>
            <w:tcW w:w="1073" w:type="dxa"/>
          </w:tcPr>
          <w:p w14:paraId="30AAFF9B" w14:textId="6C210062" w:rsidR="00275A5E" w:rsidRPr="00275A5E" w:rsidRDefault="00275A5E" w:rsidP="004C5163">
            <w:pPr>
              <w:pStyle w:val="Tabelid"/>
              <w:jc w:val="right"/>
              <w:cnfStyle w:val="000000100000" w:firstRow="0" w:lastRow="0" w:firstColumn="0" w:lastColumn="0" w:oddVBand="0" w:evenVBand="0" w:oddHBand="1" w:evenHBand="0" w:firstRowFirstColumn="0" w:firstRowLastColumn="0" w:lastRowFirstColumn="0" w:lastRowLastColumn="0"/>
            </w:pPr>
            <w:r w:rsidRPr="00C40618">
              <w:t>2,6</w:t>
            </w:r>
          </w:p>
        </w:tc>
        <w:tc>
          <w:tcPr>
            <w:tcW w:w="1155" w:type="dxa"/>
          </w:tcPr>
          <w:p w14:paraId="2B1CB7D3" w14:textId="4918A4CA" w:rsidR="00275A5E" w:rsidRPr="00275A5E" w:rsidRDefault="00275A5E" w:rsidP="004C5163">
            <w:pPr>
              <w:pStyle w:val="Tabelid"/>
              <w:jc w:val="right"/>
              <w:cnfStyle w:val="000000100000" w:firstRow="0" w:lastRow="0" w:firstColumn="0" w:lastColumn="0" w:oddVBand="0" w:evenVBand="0" w:oddHBand="1" w:evenHBand="0" w:firstRowFirstColumn="0" w:firstRowLastColumn="0" w:lastRowFirstColumn="0" w:lastRowLastColumn="0"/>
            </w:pPr>
            <w:r w:rsidRPr="00C40618">
              <w:t>0,00</w:t>
            </w:r>
          </w:p>
        </w:tc>
      </w:tr>
    </w:tbl>
    <w:p w14:paraId="3BC16261" w14:textId="5D30E00C" w:rsidR="00831AD9" w:rsidRDefault="00831AD9" w:rsidP="00831AD9">
      <w:pPr>
        <w:pStyle w:val="Phitekst"/>
        <w:rPr>
          <w:rStyle w:val="MrkusChar"/>
        </w:rPr>
      </w:pPr>
      <w:r w:rsidRPr="005822EA">
        <w:t xml:space="preserve">* </w:t>
      </w:r>
      <w:r w:rsidRPr="005822EA">
        <w:rPr>
          <w:rStyle w:val="MrkusChar"/>
        </w:rPr>
        <w:t>Tekkepõhine mõju võrreldes sellega, kui kehtiks 31.12.20</w:t>
      </w:r>
      <w:r w:rsidR="00275A5E">
        <w:rPr>
          <w:rStyle w:val="MrkusChar"/>
        </w:rPr>
        <w:t>21</w:t>
      </w:r>
      <w:r w:rsidRPr="005822EA">
        <w:rPr>
          <w:rStyle w:val="MrkusChar"/>
        </w:rPr>
        <w:t xml:space="preserve"> määrad/olukord.</w:t>
      </w:r>
    </w:p>
    <w:p w14:paraId="3710182F" w14:textId="05E96357" w:rsidR="00AB2C28" w:rsidRDefault="00AB2C28" w:rsidP="00831AD9">
      <w:pPr>
        <w:pStyle w:val="Phitekst"/>
        <w:rPr>
          <w:rStyle w:val="MrkusChar"/>
        </w:rPr>
      </w:pPr>
    </w:p>
    <w:p w14:paraId="6594ABC3" w14:textId="7CDC77C9" w:rsidR="00AB2C28" w:rsidRDefault="00AB2C28" w:rsidP="00831AD9">
      <w:pPr>
        <w:pStyle w:val="Phitekst"/>
        <w:rPr>
          <w:rStyle w:val="MrkusChar"/>
        </w:rPr>
      </w:pPr>
    </w:p>
    <w:p w14:paraId="30EC62D7" w14:textId="77989FA7" w:rsidR="00AB2C28" w:rsidRDefault="00AB2C28" w:rsidP="00831AD9">
      <w:pPr>
        <w:pStyle w:val="Phitekst"/>
        <w:rPr>
          <w:rStyle w:val="MrkusChar"/>
        </w:rPr>
      </w:pPr>
    </w:p>
    <w:p w14:paraId="3531C9CC" w14:textId="75E9E888" w:rsidR="00AB2C28" w:rsidRDefault="00AB2C28" w:rsidP="00831AD9">
      <w:pPr>
        <w:pStyle w:val="Phitekst"/>
        <w:rPr>
          <w:rStyle w:val="MrkusChar"/>
        </w:rPr>
      </w:pPr>
    </w:p>
    <w:p w14:paraId="298A9FCB" w14:textId="65EB6115" w:rsidR="00AB2C28" w:rsidRDefault="00AB2C28" w:rsidP="00831AD9">
      <w:pPr>
        <w:pStyle w:val="Phitekst"/>
        <w:rPr>
          <w:rStyle w:val="MrkusChar"/>
        </w:rPr>
      </w:pPr>
    </w:p>
    <w:p w14:paraId="11F855CC" w14:textId="70EE0E8D" w:rsidR="00AB2C28" w:rsidRDefault="00AB2C28" w:rsidP="00831AD9">
      <w:pPr>
        <w:pStyle w:val="Phitekst"/>
        <w:rPr>
          <w:rStyle w:val="MrkusChar"/>
        </w:rPr>
      </w:pPr>
    </w:p>
    <w:p w14:paraId="77B12F41" w14:textId="5FD90647" w:rsidR="00AB2C28" w:rsidRDefault="00AB2C28" w:rsidP="00831AD9">
      <w:pPr>
        <w:pStyle w:val="Phitekst"/>
        <w:rPr>
          <w:rStyle w:val="MrkusChar"/>
        </w:rPr>
      </w:pPr>
    </w:p>
    <w:p w14:paraId="23D2C0C4" w14:textId="77777777" w:rsidR="00AB2C28" w:rsidRPr="005822EA" w:rsidRDefault="00AB2C28" w:rsidP="00831AD9">
      <w:pPr>
        <w:pStyle w:val="Phitekst"/>
        <w:rPr>
          <w:rStyle w:val="MrkusChar"/>
        </w:rPr>
      </w:pPr>
    </w:p>
    <w:p w14:paraId="733515D4" w14:textId="16B02AE0" w:rsidR="00AB2C28" w:rsidRPr="00AB2C28" w:rsidRDefault="00AB2C28" w:rsidP="00EF2257">
      <w:pPr>
        <w:pStyle w:val="Pealdis"/>
      </w:pPr>
      <w:bookmarkStart w:id="202" w:name="_Ref511054503"/>
      <w:bookmarkStart w:id="203" w:name="_Toc511055582"/>
      <w:bookmarkStart w:id="204" w:name="_Toc511056826"/>
      <w:bookmarkStart w:id="205" w:name="_Toc4502678"/>
      <w:bookmarkStart w:id="206" w:name="_Toc82084251"/>
      <w:bookmarkStart w:id="207" w:name="_Toc100230300"/>
      <w:r w:rsidRPr="00AB2C28">
        <w:lastRenderedPageBreak/>
        <w:t xml:space="preserve">Tabel </w:t>
      </w:r>
      <w:fldSimple w:instr=" SEQ Tabel \* ARABIC ">
        <w:r w:rsidR="000C04EE">
          <w:rPr>
            <w:noProof/>
          </w:rPr>
          <w:t>15</w:t>
        </w:r>
      </w:fldSimple>
      <w:bookmarkEnd w:id="202"/>
      <w:r w:rsidRPr="00AB2C28">
        <w:t>. Maksukulud riigieelarves aastatel 2021-20</w:t>
      </w:r>
      <w:bookmarkEnd w:id="203"/>
      <w:bookmarkEnd w:id="204"/>
      <w:r w:rsidRPr="00AB2C28">
        <w:t>2</w:t>
      </w:r>
      <w:r w:rsidRPr="00EF2257">
        <w:t>3</w:t>
      </w:r>
      <w:r w:rsidRPr="00AB2C28">
        <w:t xml:space="preserve"> (mln eurot)</w:t>
      </w:r>
      <w:bookmarkEnd w:id="205"/>
      <w:bookmarkEnd w:id="206"/>
      <w:bookmarkEnd w:id="207"/>
    </w:p>
    <w:tbl>
      <w:tblPr>
        <w:tblStyle w:val="Peentabel1"/>
        <w:tblW w:w="10348" w:type="dxa"/>
        <w:tblLook w:val="04A0" w:firstRow="1" w:lastRow="0" w:firstColumn="1" w:lastColumn="0" w:noHBand="0" w:noVBand="1"/>
      </w:tblPr>
      <w:tblGrid>
        <w:gridCol w:w="656"/>
        <w:gridCol w:w="4128"/>
        <w:gridCol w:w="1409"/>
        <w:gridCol w:w="1622"/>
        <w:gridCol w:w="832"/>
        <w:gridCol w:w="851"/>
        <w:gridCol w:w="850"/>
      </w:tblGrid>
      <w:tr w:rsidR="00AB2C28" w:rsidRPr="00CE40BB" w14:paraId="08F3D73F" w14:textId="77777777" w:rsidTr="00CE40BB">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56" w:type="dxa"/>
          </w:tcPr>
          <w:p w14:paraId="56935D27" w14:textId="77777777" w:rsidR="00AB2C28" w:rsidRPr="00AB2C28" w:rsidRDefault="00AB2C28" w:rsidP="00AB2C28">
            <w:pPr>
              <w:spacing w:after="0"/>
              <w:rPr>
                <w:rFonts w:eastAsia="Calibri" w:cs="Segoe UI Light"/>
                <w:sz w:val="20"/>
                <w:szCs w:val="18"/>
                <w:lang w:eastAsia="et-EE"/>
              </w:rPr>
            </w:pPr>
          </w:p>
        </w:tc>
        <w:tc>
          <w:tcPr>
            <w:tcW w:w="4128" w:type="dxa"/>
          </w:tcPr>
          <w:p w14:paraId="6E6973D0" w14:textId="77777777" w:rsidR="00AB2C28" w:rsidRPr="00AB2C28" w:rsidRDefault="00AB2C28" w:rsidP="00AB2C28">
            <w:pPr>
              <w:spacing w:after="0"/>
              <w:cnfStyle w:val="100000000000" w:firstRow="1" w:lastRow="0" w:firstColumn="0" w:lastColumn="0" w:oddVBand="0" w:evenVBand="0" w:oddHBand="0" w:evenHBand="0" w:firstRowFirstColumn="0" w:firstRowLastColumn="0" w:lastRowFirstColumn="0" w:lastRowLastColumn="0"/>
              <w:rPr>
                <w:rFonts w:eastAsia="Calibri" w:cs="Segoe UI Light"/>
                <w:sz w:val="20"/>
                <w:szCs w:val="18"/>
                <w:lang w:eastAsia="et-EE"/>
              </w:rPr>
            </w:pPr>
            <w:r w:rsidRPr="00AB2C28">
              <w:rPr>
                <w:rFonts w:eastAsia="Calibri" w:cs="Segoe UI Light"/>
                <w:sz w:val="20"/>
                <w:szCs w:val="18"/>
                <w:lang w:eastAsia="et-EE"/>
              </w:rPr>
              <w:t>Maksukulu</w:t>
            </w:r>
          </w:p>
        </w:tc>
        <w:tc>
          <w:tcPr>
            <w:tcW w:w="1409" w:type="dxa"/>
          </w:tcPr>
          <w:p w14:paraId="5E8CD9D0" w14:textId="77777777" w:rsidR="00AB2C28" w:rsidRPr="00AB2C28" w:rsidRDefault="00AB2C28" w:rsidP="00AB2C28">
            <w:pPr>
              <w:spacing w:after="0"/>
              <w:cnfStyle w:val="100000000000" w:firstRow="1" w:lastRow="0" w:firstColumn="0" w:lastColumn="0" w:oddVBand="0" w:evenVBand="0" w:oddHBand="0" w:evenHBand="0" w:firstRowFirstColumn="0" w:firstRowLastColumn="0" w:lastRowFirstColumn="0" w:lastRowLastColumn="0"/>
              <w:rPr>
                <w:rFonts w:eastAsia="Calibri" w:cs="Segoe UI Light"/>
                <w:sz w:val="20"/>
                <w:szCs w:val="18"/>
                <w:lang w:eastAsia="et-EE"/>
              </w:rPr>
            </w:pPr>
            <w:r w:rsidRPr="00AB2C28">
              <w:rPr>
                <w:rFonts w:eastAsia="Calibri" w:cs="Segoe UI Light"/>
                <w:sz w:val="20"/>
                <w:szCs w:val="18"/>
                <w:lang w:eastAsia="et-EE"/>
              </w:rPr>
              <w:t>Säte</w:t>
            </w:r>
          </w:p>
        </w:tc>
        <w:tc>
          <w:tcPr>
            <w:tcW w:w="1622" w:type="dxa"/>
          </w:tcPr>
          <w:p w14:paraId="5C8CE617" w14:textId="77777777" w:rsidR="00AB2C28" w:rsidRPr="00AB2C28" w:rsidRDefault="00AB2C28" w:rsidP="00AB2C28">
            <w:pPr>
              <w:spacing w:after="0"/>
              <w:cnfStyle w:val="100000000000" w:firstRow="1" w:lastRow="0" w:firstColumn="0" w:lastColumn="0" w:oddVBand="0" w:evenVBand="0" w:oddHBand="0" w:evenHBand="0" w:firstRowFirstColumn="0" w:firstRowLastColumn="0" w:lastRowFirstColumn="0" w:lastRowLastColumn="0"/>
              <w:rPr>
                <w:rFonts w:eastAsia="Calibri" w:cs="Segoe UI Light"/>
                <w:sz w:val="20"/>
                <w:szCs w:val="18"/>
                <w:lang w:eastAsia="et-EE"/>
              </w:rPr>
            </w:pPr>
            <w:r w:rsidRPr="00AB2C28">
              <w:rPr>
                <w:rFonts w:eastAsia="Calibri" w:cs="Segoe UI Light"/>
                <w:sz w:val="20"/>
                <w:szCs w:val="18"/>
                <w:lang w:eastAsia="et-EE"/>
              </w:rPr>
              <w:t>Valitsemis-funktsioon</w:t>
            </w:r>
            <w:r w:rsidRPr="004C5163">
              <w:rPr>
                <w:rFonts w:eastAsia="Calibri" w:cs="Segoe UI Light"/>
                <w:sz w:val="20"/>
                <w:szCs w:val="18"/>
                <w:vertAlign w:val="superscript"/>
                <w:lang w:eastAsia="et-EE"/>
              </w:rPr>
              <w:endnoteReference w:id="11"/>
            </w:r>
          </w:p>
        </w:tc>
        <w:tc>
          <w:tcPr>
            <w:tcW w:w="832" w:type="dxa"/>
          </w:tcPr>
          <w:p w14:paraId="2463DEEB" w14:textId="77777777" w:rsidR="00AB2C28" w:rsidRPr="00AB2C28" w:rsidRDefault="00AB2C28" w:rsidP="004C5163">
            <w:pPr>
              <w:spacing w:after="0"/>
              <w:jc w:val="right"/>
              <w:cnfStyle w:val="100000000000" w:firstRow="1" w:lastRow="0" w:firstColumn="0" w:lastColumn="0" w:oddVBand="0" w:evenVBand="0" w:oddHBand="0" w:evenHBand="0" w:firstRowFirstColumn="0" w:firstRowLastColumn="0" w:lastRowFirstColumn="0" w:lastRowLastColumn="0"/>
              <w:rPr>
                <w:rFonts w:eastAsia="Calibri" w:cs="Segoe UI Light"/>
                <w:sz w:val="20"/>
                <w:szCs w:val="18"/>
                <w:lang w:eastAsia="et-EE"/>
              </w:rPr>
            </w:pPr>
            <w:r w:rsidRPr="00AB2C28">
              <w:rPr>
                <w:rFonts w:eastAsia="Calibri" w:cs="Segoe UI Light"/>
                <w:sz w:val="20"/>
                <w:szCs w:val="18"/>
                <w:lang w:eastAsia="et-EE"/>
              </w:rPr>
              <w:t>2021</w:t>
            </w:r>
          </w:p>
        </w:tc>
        <w:tc>
          <w:tcPr>
            <w:tcW w:w="851" w:type="dxa"/>
          </w:tcPr>
          <w:p w14:paraId="1A1217B3" w14:textId="1FC29B15" w:rsidR="00AB2C28" w:rsidRPr="00CE40BB" w:rsidRDefault="00CE40BB" w:rsidP="004C5163">
            <w:pPr>
              <w:spacing w:after="0"/>
              <w:jc w:val="right"/>
              <w:cnfStyle w:val="100000000000" w:firstRow="1" w:lastRow="0" w:firstColumn="0" w:lastColumn="0" w:oddVBand="0" w:evenVBand="0" w:oddHBand="0" w:evenHBand="0" w:firstRowFirstColumn="0" w:firstRowLastColumn="0" w:lastRowFirstColumn="0" w:lastRowLastColumn="0"/>
              <w:rPr>
                <w:rFonts w:eastAsia="Calibri" w:cs="Segoe UI Light"/>
                <w:sz w:val="20"/>
                <w:szCs w:val="18"/>
                <w:lang w:eastAsia="et-EE"/>
              </w:rPr>
            </w:pPr>
            <w:r w:rsidRPr="00CE40BB">
              <w:rPr>
                <w:rFonts w:eastAsia="Calibri" w:cs="Segoe UI Light"/>
                <w:sz w:val="20"/>
                <w:szCs w:val="18"/>
                <w:lang w:eastAsia="et-EE"/>
              </w:rPr>
              <w:t>2022</w:t>
            </w:r>
          </w:p>
        </w:tc>
        <w:tc>
          <w:tcPr>
            <w:tcW w:w="850" w:type="dxa"/>
          </w:tcPr>
          <w:p w14:paraId="266B99B1" w14:textId="0DB3296C" w:rsidR="00AB2C28" w:rsidRPr="00AB2C28" w:rsidRDefault="00AB2C28" w:rsidP="004C5163">
            <w:pPr>
              <w:spacing w:after="0"/>
              <w:jc w:val="right"/>
              <w:cnfStyle w:val="100000000000" w:firstRow="1" w:lastRow="0" w:firstColumn="0" w:lastColumn="0" w:oddVBand="0" w:evenVBand="0" w:oddHBand="0" w:evenHBand="0" w:firstRowFirstColumn="0" w:firstRowLastColumn="0" w:lastRowFirstColumn="0" w:lastRowLastColumn="0"/>
              <w:rPr>
                <w:rFonts w:eastAsia="Calibri" w:cs="Segoe UI Light"/>
                <w:sz w:val="20"/>
                <w:szCs w:val="18"/>
                <w:lang w:eastAsia="et-EE"/>
              </w:rPr>
            </w:pPr>
            <w:r w:rsidRPr="00AB2C28">
              <w:rPr>
                <w:rFonts w:eastAsia="Calibri" w:cs="Segoe UI Light"/>
                <w:sz w:val="20"/>
                <w:szCs w:val="18"/>
                <w:lang w:eastAsia="et-EE"/>
              </w:rPr>
              <w:t>202</w:t>
            </w:r>
            <w:r w:rsidR="00CE40BB" w:rsidRPr="00CE40BB">
              <w:rPr>
                <w:rFonts w:eastAsia="Calibri" w:cs="Segoe UI Light"/>
                <w:sz w:val="20"/>
                <w:szCs w:val="18"/>
                <w:lang w:eastAsia="et-EE"/>
              </w:rPr>
              <w:t>3</w:t>
            </w:r>
          </w:p>
        </w:tc>
      </w:tr>
      <w:tr w:rsidR="00AB2C28" w:rsidRPr="00CE40BB" w14:paraId="372AE10B" w14:textId="77777777" w:rsidTr="00CE40BB">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56" w:type="dxa"/>
          </w:tcPr>
          <w:p w14:paraId="0D954B5B" w14:textId="77777777" w:rsidR="00AB2C28" w:rsidRPr="00AB2C28" w:rsidRDefault="00AB2C28" w:rsidP="00AB2C28">
            <w:pPr>
              <w:spacing w:after="0"/>
              <w:rPr>
                <w:rFonts w:eastAsia="Calibri" w:cs="Segoe UI Light"/>
                <w:b w:val="0"/>
                <w:sz w:val="20"/>
                <w:szCs w:val="18"/>
                <w:lang w:eastAsia="et-EE"/>
              </w:rPr>
            </w:pPr>
          </w:p>
        </w:tc>
        <w:tc>
          <w:tcPr>
            <w:tcW w:w="4128" w:type="dxa"/>
          </w:tcPr>
          <w:p w14:paraId="33788FC4" w14:textId="77777777" w:rsidR="00AB2C28" w:rsidRPr="00AB2C28" w:rsidRDefault="00AB2C28" w:rsidP="00AB2C28">
            <w:pPr>
              <w:spacing w:after="0"/>
              <w:cnfStyle w:val="000000100000" w:firstRow="0" w:lastRow="0" w:firstColumn="0" w:lastColumn="0" w:oddVBand="0" w:evenVBand="0" w:oddHBand="1" w:evenHBand="0" w:firstRowFirstColumn="0" w:firstRowLastColumn="0" w:lastRowFirstColumn="0" w:lastRowLastColumn="0"/>
              <w:rPr>
                <w:rFonts w:eastAsia="Calibri" w:cs="Segoe UI Light"/>
                <w:b/>
                <w:bCs/>
                <w:sz w:val="20"/>
                <w:szCs w:val="18"/>
                <w:lang w:eastAsia="et-EE"/>
              </w:rPr>
            </w:pPr>
            <w:r w:rsidRPr="00AB2C28">
              <w:rPr>
                <w:rFonts w:eastAsia="Calibri" w:cs="Segoe UI Light"/>
                <w:b/>
                <w:bCs/>
                <w:sz w:val="20"/>
                <w:szCs w:val="18"/>
                <w:lang w:eastAsia="et-EE"/>
              </w:rPr>
              <w:t>KOKKU</w:t>
            </w:r>
          </w:p>
        </w:tc>
        <w:tc>
          <w:tcPr>
            <w:tcW w:w="1409" w:type="dxa"/>
          </w:tcPr>
          <w:p w14:paraId="33302467" w14:textId="77777777" w:rsidR="00AB2C28" w:rsidRPr="00AB2C28" w:rsidRDefault="00AB2C28" w:rsidP="00AB2C28">
            <w:pPr>
              <w:spacing w:after="0"/>
              <w:cnfStyle w:val="000000100000" w:firstRow="0" w:lastRow="0" w:firstColumn="0" w:lastColumn="0" w:oddVBand="0" w:evenVBand="0" w:oddHBand="1" w:evenHBand="0" w:firstRowFirstColumn="0" w:firstRowLastColumn="0" w:lastRowFirstColumn="0" w:lastRowLastColumn="0"/>
              <w:rPr>
                <w:rFonts w:eastAsia="Calibri" w:cs="Segoe UI Light"/>
                <w:b/>
                <w:bCs/>
                <w:sz w:val="20"/>
                <w:szCs w:val="18"/>
                <w:lang w:eastAsia="et-EE"/>
              </w:rPr>
            </w:pPr>
            <w:r w:rsidRPr="00AB2C28">
              <w:rPr>
                <w:rFonts w:eastAsia="Calibri" w:cs="Segoe UI Light"/>
                <w:b/>
                <w:bCs/>
                <w:color w:val="000000"/>
                <w:sz w:val="20"/>
                <w:szCs w:val="18"/>
                <w:lang w:eastAsia="et-EE"/>
              </w:rPr>
              <w:t> </w:t>
            </w:r>
          </w:p>
        </w:tc>
        <w:tc>
          <w:tcPr>
            <w:tcW w:w="1622" w:type="dxa"/>
          </w:tcPr>
          <w:p w14:paraId="58F140DC" w14:textId="77777777" w:rsidR="00AB2C28" w:rsidRPr="00AB2C28" w:rsidRDefault="00AB2C28" w:rsidP="00AB2C28">
            <w:pPr>
              <w:spacing w:after="0"/>
              <w:cnfStyle w:val="000000100000" w:firstRow="0" w:lastRow="0" w:firstColumn="0" w:lastColumn="0" w:oddVBand="0" w:evenVBand="0" w:oddHBand="1" w:evenHBand="0" w:firstRowFirstColumn="0" w:firstRowLastColumn="0" w:lastRowFirstColumn="0" w:lastRowLastColumn="0"/>
              <w:rPr>
                <w:rFonts w:eastAsia="Calibri" w:cs="Segoe UI Light"/>
                <w:b/>
                <w:bCs/>
                <w:sz w:val="20"/>
                <w:szCs w:val="18"/>
                <w:lang w:eastAsia="et-EE"/>
              </w:rPr>
            </w:pPr>
          </w:p>
        </w:tc>
        <w:tc>
          <w:tcPr>
            <w:tcW w:w="832" w:type="dxa"/>
          </w:tcPr>
          <w:p w14:paraId="3A520FAA" w14:textId="4BB13C2C" w:rsidR="00AB2C28" w:rsidRPr="00AB2C28"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
                <w:bCs/>
                <w:color w:val="000000"/>
                <w:sz w:val="20"/>
                <w:szCs w:val="18"/>
                <w:lang w:eastAsia="et-EE"/>
              </w:rPr>
            </w:pPr>
            <w:r>
              <w:rPr>
                <w:rFonts w:eastAsia="Calibri" w:cs="Segoe UI Light"/>
                <w:b/>
                <w:bCs/>
                <w:color w:val="000000"/>
                <w:sz w:val="20"/>
                <w:szCs w:val="18"/>
                <w:lang w:eastAsia="et-EE"/>
              </w:rPr>
              <w:t>304,1</w:t>
            </w:r>
          </w:p>
        </w:tc>
        <w:tc>
          <w:tcPr>
            <w:tcW w:w="851" w:type="dxa"/>
          </w:tcPr>
          <w:p w14:paraId="538058AC" w14:textId="64447D17" w:rsidR="00AB2C28" w:rsidRPr="00CE40BB"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
                <w:bCs/>
                <w:sz w:val="20"/>
                <w:szCs w:val="18"/>
                <w:lang w:eastAsia="et-EE"/>
              </w:rPr>
            </w:pPr>
            <w:r>
              <w:rPr>
                <w:rFonts w:eastAsia="Calibri" w:cs="Segoe UI Light"/>
                <w:b/>
                <w:bCs/>
                <w:sz w:val="20"/>
                <w:szCs w:val="18"/>
                <w:lang w:eastAsia="et-EE"/>
              </w:rPr>
              <w:t>335,4</w:t>
            </w:r>
          </w:p>
        </w:tc>
        <w:tc>
          <w:tcPr>
            <w:tcW w:w="850" w:type="dxa"/>
          </w:tcPr>
          <w:p w14:paraId="792FBB21" w14:textId="06EAE91A" w:rsidR="00AB2C28" w:rsidRPr="00AB2C28"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
                <w:bCs/>
                <w:color w:val="000000"/>
                <w:sz w:val="20"/>
                <w:szCs w:val="18"/>
                <w:lang w:eastAsia="et-EE"/>
              </w:rPr>
            </w:pPr>
            <w:r>
              <w:rPr>
                <w:rFonts w:eastAsia="Calibri" w:cs="Segoe UI Light"/>
                <w:b/>
                <w:bCs/>
                <w:color w:val="000000"/>
                <w:sz w:val="20"/>
                <w:szCs w:val="18"/>
                <w:lang w:eastAsia="et-EE"/>
              </w:rPr>
              <w:t>443,8</w:t>
            </w:r>
          </w:p>
        </w:tc>
      </w:tr>
      <w:tr w:rsidR="00687E27" w:rsidRPr="00CE40BB" w14:paraId="66EC59FB" w14:textId="77777777" w:rsidTr="00CE40BB">
        <w:trPr>
          <w:trHeight w:val="358"/>
        </w:trPr>
        <w:tc>
          <w:tcPr>
            <w:cnfStyle w:val="001000000000" w:firstRow="0" w:lastRow="0" w:firstColumn="1" w:lastColumn="0" w:oddVBand="0" w:evenVBand="0" w:oddHBand="0" w:evenHBand="0" w:firstRowFirstColumn="0" w:firstRowLastColumn="0" w:lastRowFirstColumn="0" w:lastRowLastColumn="0"/>
            <w:tcW w:w="656" w:type="dxa"/>
          </w:tcPr>
          <w:p w14:paraId="030826CF" w14:textId="77777777" w:rsidR="00687E27" w:rsidRPr="007F25A1" w:rsidRDefault="00687E27" w:rsidP="007F25A1">
            <w:pPr>
              <w:spacing w:after="0"/>
              <w:rPr>
                <w:rFonts w:eastAsia="Calibri" w:cs="Segoe UI Light"/>
                <w:sz w:val="20"/>
                <w:szCs w:val="18"/>
                <w:lang w:eastAsia="et-EE"/>
              </w:rPr>
            </w:pPr>
            <w:r w:rsidRPr="007F25A1">
              <w:rPr>
                <w:rFonts w:eastAsia="Calibri" w:cs="Segoe UI Light"/>
                <w:sz w:val="20"/>
                <w:szCs w:val="18"/>
                <w:lang w:eastAsia="et-EE"/>
              </w:rPr>
              <w:t>1.</w:t>
            </w:r>
          </w:p>
        </w:tc>
        <w:tc>
          <w:tcPr>
            <w:tcW w:w="4128" w:type="dxa"/>
          </w:tcPr>
          <w:p w14:paraId="6AC5956F" w14:textId="77777777" w:rsidR="00687E27" w:rsidRPr="00AB2C28"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color w:val="000000"/>
                <w:sz w:val="20"/>
                <w:szCs w:val="18"/>
                <w:lang w:eastAsia="et-EE"/>
              </w:rPr>
            </w:pPr>
            <w:r w:rsidRPr="00AB2C28">
              <w:rPr>
                <w:rFonts w:eastAsia="Calibri" w:cs="Segoe UI Light"/>
                <w:color w:val="000000"/>
                <w:sz w:val="20"/>
                <w:szCs w:val="18"/>
                <w:lang w:eastAsia="et-EE"/>
              </w:rPr>
              <w:t>Käibemaksumäär 9% raamatutele, töövihikutele ja perioodika väljaannetele</w:t>
            </w:r>
          </w:p>
        </w:tc>
        <w:tc>
          <w:tcPr>
            <w:tcW w:w="1409" w:type="dxa"/>
          </w:tcPr>
          <w:p w14:paraId="3902B30C" w14:textId="77777777" w:rsidR="00687E27" w:rsidRPr="00AB2C28"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sz w:val="20"/>
                <w:szCs w:val="18"/>
                <w:lang w:eastAsia="et-EE"/>
              </w:rPr>
            </w:pPr>
            <w:r w:rsidRPr="00AB2C28">
              <w:rPr>
                <w:rFonts w:eastAsia="Calibri" w:cs="Segoe UI Light"/>
                <w:sz w:val="20"/>
                <w:szCs w:val="18"/>
                <w:lang w:eastAsia="et-EE"/>
              </w:rPr>
              <w:t>KMS §15 lg 2 p 1 ja 3</w:t>
            </w:r>
          </w:p>
        </w:tc>
        <w:tc>
          <w:tcPr>
            <w:tcW w:w="1622" w:type="dxa"/>
          </w:tcPr>
          <w:p w14:paraId="379B972C" w14:textId="77777777" w:rsidR="00687E27" w:rsidRPr="00AB2C28"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sz w:val="20"/>
                <w:szCs w:val="18"/>
                <w:lang w:eastAsia="et-EE"/>
              </w:rPr>
            </w:pPr>
            <w:r w:rsidRPr="00AB2C28">
              <w:rPr>
                <w:rFonts w:eastAsia="Calibri" w:cs="Segoe UI Light"/>
                <w:sz w:val="20"/>
                <w:szCs w:val="18"/>
                <w:lang w:eastAsia="et-EE"/>
              </w:rPr>
              <w:t>haridus</w:t>
            </w:r>
          </w:p>
        </w:tc>
        <w:tc>
          <w:tcPr>
            <w:tcW w:w="832" w:type="dxa"/>
          </w:tcPr>
          <w:p w14:paraId="67033538" w14:textId="6A446529" w:rsidR="00687E27" w:rsidRPr="00AB2C28"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color w:val="000000"/>
                <w:sz w:val="20"/>
                <w:szCs w:val="20"/>
                <w:lang w:eastAsia="et-EE"/>
              </w:rPr>
            </w:pPr>
            <w:r w:rsidRPr="00687E27">
              <w:rPr>
                <w:sz w:val="20"/>
                <w:szCs w:val="20"/>
              </w:rPr>
              <w:t>13,2</w:t>
            </w:r>
          </w:p>
        </w:tc>
        <w:tc>
          <w:tcPr>
            <w:tcW w:w="851" w:type="dxa"/>
          </w:tcPr>
          <w:p w14:paraId="2C6ABC27" w14:textId="5CE9D0B3" w:rsidR="00687E27" w:rsidRPr="00687E27"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sz w:val="20"/>
                <w:szCs w:val="20"/>
                <w:lang w:eastAsia="et-EE"/>
              </w:rPr>
            </w:pPr>
            <w:r w:rsidRPr="00687E27">
              <w:rPr>
                <w:sz w:val="20"/>
                <w:szCs w:val="20"/>
              </w:rPr>
              <w:t>14,3</w:t>
            </w:r>
          </w:p>
        </w:tc>
        <w:tc>
          <w:tcPr>
            <w:tcW w:w="850" w:type="dxa"/>
          </w:tcPr>
          <w:p w14:paraId="011D9511" w14:textId="10F85812" w:rsidR="00687E27" w:rsidRPr="00AB2C28"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color w:val="000000"/>
                <w:sz w:val="20"/>
                <w:szCs w:val="20"/>
                <w:lang w:eastAsia="et-EE"/>
              </w:rPr>
            </w:pPr>
            <w:r w:rsidRPr="00687E27">
              <w:rPr>
                <w:sz w:val="20"/>
                <w:szCs w:val="20"/>
              </w:rPr>
              <w:t>15,3</w:t>
            </w:r>
          </w:p>
        </w:tc>
      </w:tr>
      <w:tr w:rsidR="00687E27" w:rsidRPr="00CE40BB" w14:paraId="7C58425F" w14:textId="77777777" w:rsidTr="00CE40BB">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656" w:type="dxa"/>
          </w:tcPr>
          <w:p w14:paraId="1444E3DB" w14:textId="77777777" w:rsidR="00687E27" w:rsidRPr="007F25A1" w:rsidRDefault="00687E27" w:rsidP="007F25A1">
            <w:pPr>
              <w:spacing w:after="0"/>
              <w:rPr>
                <w:rFonts w:eastAsia="Calibri" w:cs="Segoe UI Light"/>
                <w:sz w:val="20"/>
                <w:szCs w:val="18"/>
                <w:lang w:eastAsia="et-EE"/>
              </w:rPr>
            </w:pPr>
            <w:r w:rsidRPr="007F25A1">
              <w:rPr>
                <w:rFonts w:eastAsia="Calibri" w:cs="Segoe UI Light"/>
                <w:sz w:val="20"/>
                <w:szCs w:val="18"/>
                <w:lang w:eastAsia="et-EE"/>
              </w:rPr>
              <w:t>2.</w:t>
            </w:r>
          </w:p>
        </w:tc>
        <w:tc>
          <w:tcPr>
            <w:tcW w:w="4128" w:type="dxa"/>
          </w:tcPr>
          <w:p w14:paraId="31E5F631" w14:textId="77777777" w:rsidR="00687E27" w:rsidRPr="00AB2C28"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sz w:val="20"/>
                <w:szCs w:val="18"/>
                <w:lang w:eastAsia="et-EE"/>
              </w:rPr>
            </w:pPr>
            <w:r w:rsidRPr="00AB2C28">
              <w:rPr>
                <w:rFonts w:eastAsia="Calibri" w:cs="Segoe UI Light"/>
                <w:sz w:val="20"/>
                <w:szCs w:val="18"/>
                <w:lang w:eastAsia="et-EE"/>
              </w:rPr>
              <w:t>Käibemaksumäär 9% ravimi</w:t>
            </w:r>
            <w:r w:rsidRPr="00AB2C28">
              <w:rPr>
                <w:rFonts w:eastAsia="Calibri" w:cs="Segoe UI Light"/>
                <w:sz w:val="20"/>
                <w:szCs w:val="18"/>
                <w:lang w:eastAsia="et-EE"/>
              </w:rPr>
              <w:softHyphen/>
              <w:t>tele ja meditsiini</w:t>
            </w:r>
            <w:r w:rsidRPr="00AB2C28">
              <w:rPr>
                <w:rFonts w:eastAsia="Calibri" w:cs="Segoe UI Light"/>
                <w:sz w:val="20"/>
                <w:szCs w:val="18"/>
                <w:lang w:eastAsia="et-EE"/>
              </w:rPr>
              <w:softHyphen/>
              <w:t>seadmetele</w:t>
            </w:r>
          </w:p>
        </w:tc>
        <w:tc>
          <w:tcPr>
            <w:tcW w:w="1409" w:type="dxa"/>
          </w:tcPr>
          <w:p w14:paraId="5E228107" w14:textId="77777777" w:rsidR="00687E27" w:rsidRPr="00AB2C28"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sz w:val="20"/>
                <w:szCs w:val="18"/>
                <w:lang w:eastAsia="et-EE"/>
              </w:rPr>
            </w:pPr>
            <w:r w:rsidRPr="00AB2C28">
              <w:rPr>
                <w:rFonts w:eastAsia="Calibri" w:cs="Segoe UI Light"/>
                <w:sz w:val="20"/>
                <w:szCs w:val="18"/>
                <w:lang w:eastAsia="et-EE"/>
              </w:rPr>
              <w:t>KMS §15 lg 2 p 2</w:t>
            </w:r>
          </w:p>
        </w:tc>
        <w:tc>
          <w:tcPr>
            <w:tcW w:w="1622" w:type="dxa"/>
          </w:tcPr>
          <w:p w14:paraId="6CBCD177" w14:textId="77777777" w:rsidR="00687E27" w:rsidRPr="00AB2C28"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sz w:val="20"/>
                <w:szCs w:val="18"/>
                <w:lang w:eastAsia="et-EE"/>
              </w:rPr>
            </w:pPr>
            <w:r w:rsidRPr="00AB2C28">
              <w:rPr>
                <w:rFonts w:eastAsia="Calibri" w:cs="Segoe UI Light"/>
                <w:sz w:val="20"/>
                <w:szCs w:val="18"/>
                <w:lang w:eastAsia="et-EE"/>
              </w:rPr>
              <w:t>tervishoid</w:t>
            </w:r>
          </w:p>
        </w:tc>
        <w:tc>
          <w:tcPr>
            <w:tcW w:w="832" w:type="dxa"/>
          </w:tcPr>
          <w:p w14:paraId="22BCBFF6" w14:textId="22575361" w:rsidR="00687E27" w:rsidRPr="00AB2C28"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sz w:val="20"/>
                <w:szCs w:val="20"/>
                <w:lang w:eastAsia="et-EE"/>
              </w:rPr>
            </w:pPr>
            <w:r w:rsidRPr="00687E27">
              <w:rPr>
                <w:sz w:val="20"/>
                <w:szCs w:val="20"/>
              </w:rPr>
              <w:t>74,7</w:t>
            </w:r>
          </w:p>
        </w:tc>
        <w:tc>
          <w:tcPr>
            <w:tcW w:w="851" w:type="dxa"/>
          </w:tcPr>
          <w:p w14:paraId="276A6993" w14:textId="0B26637E" w:rsidR="00687E27" w:rsidRPr="00687E27"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sz w:val="20"/>
                <w:szCs w:val="20"/>
                <w:lang w:eastAsia="et-EE"/>
              </w:rPr>
            </w:pPr>
            <w:r w:rsidRPr="00687E27">
              <w:rPr>
                <w:sz w:val="20"/>
                <w:szCs w:val="20"/>
              </w:rPr>
              <w:t>78,9</w:t>
            </w:r>
          </w:p>
        </w:tc>
        <w:tc>
          <w:tcPr>
            <w:tcW w:w="850" w:type="dxa"/>
          </w:tcPr>
          <w:p w14:paraId="3E1D126A" w14:textId="5AC3958A" w:rsidR="00687E27" w:rsidRPr="00AB2C28"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sz w:val="20"/>
                <w:szCs w:val="20"/>
                <w:lang w:eastAsia="et-EE"/>
              </w:rPr>
            </w:pPr>
            <w:r w:rsidRPr="00687E27">
              <w:rPr>
                <w:sz w:val="20"/>
                <w:szCs w:val="20"/>
              </w:rPr>
              <w:t>80,6</w:t>
            </w:r>
          </w:p>
        </w:tc>
      </w:tr>
      <w:tr w:rsidR="00687E27" w:rsidRPr="00CE40BB" w14:paraId="768ADFB0" w14:textId="77777777" w:rsidTr="00CE40BB">
        <w:trPr>
          <w:trHeight w:val="358"/>
        </w:trPr>
        <w:tc>
          <w:tcPr>
            <w:cnfStyle w:val="001000000000" w:firstRow="0" w:lastRow="0" w:firstColumn="1" w:lastColumn="0" w:oddVBand="0" w:evenVBand="0" w:oddHBand="0" w:evenHBand="0" w:firstRowFirstColumn="0" w:firstRowLastColumn="0" w:lastRowFirstColumn="0" w:lastRowLastColumn="0"/>
            <w:tcW w:w="656" w:type="dxa"/>
          </w:tcPr>
          <w:p w14:paraId="60F73CDB" w14:textId="77777777" w:rsidR="00687E27" w:rsidRPr="007F25A1" w:rsidRDefault="00687E27" w:rsidP="007F25A1">
            <w:pPr>
              <w:spacing w:after="0"/>
              <w:rPr>
                <w:rFonts w:eastAsia="Calibri" w:cs="Segoe UI Light"/>
                <w:sz w:val="20"/>
                <w:szCs w:val="18"/>
                <w:lang w:eastAsia="et-EE"/>
              </w:rPr>
            </w:pPr>
            <w:r w:rsidRPr="007F25A1">
              <w:rPr>
                <w:rFonts w:eastAsia="Calibri" w:cs="Segoe UI Light"/>
                <w:sz w:val="20"/>
                <w:szCs w:val="18"/>
                <w:lang w:eastAsia="et-EE"/>
              </w:rPr>
              <w:t>3.</w:t>
            </w:r>
          </w:p>
        </w:tc>
        <w:tc>
          <w:tcPr>
            <w:tcW w:w="4128" w:type="dxa"/>
          </w:tcPr>
          <w:p w14:paraId="07E691A0" w14:textId="77777777"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 xml:space="preserve">Käibemaksumäär 9% majutusteenustele </w:t>
            </w:r>
          </w:p>
        </w:tc>
        <w:tc>
          <w:tcPr>
            <w:tcW w:w="1409" w:type="dxa"/>
          </w:tcPr>
          <w:p w14:paraId="336D6877" w14:textId="77777777"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KMS §15 lg 2 p 4</w:t>
            </w:r>
          </w:p>
        </w:tc>
        <w:tc>
          <w:tcPr>
            <w:tcW w:w="1622" w:type="dxa"/>
          </w:tcPr>
          <w:p w14:paraId="074D5FB2" w14:textId="77777777"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vaba aeg, kultuur ja religioon</w:t>
            </w:r>
          </w:p>
        </w:tc>
        <w:tc>
          <w:tcPr>
            <w:tcW w:w="832" w:type="dxa"/>
          </w:tcPr>
          <w:p w14:paraId="3E5CE790" w14:textId="1C4CB4E3"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34,4</w:t>
            </w:r>
          </w:p>
        </w:tc>
        <w:tc>
          <w:tcPr>
            <w:tcW w:w="851" w:type="dxa"/>
          </w:tcPr>
          <w:p w14:paraId="791D3986" w14:textId="45C43591"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36,3</w:t>
            </w:r>
          </w:p>
        </w:tc>
        <w:tc>
          <w:tcPr>
            <w:tcW w:w="850" w:type="dxa"/>
          </w:tcPr>
          <w:p w14:paraId="0D2C4620" w14:textId="1347D1FF"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37,1</w:t>
            </w:r>
          </w:p>
        </w:tc>
      </w:tr>
      <w:tr w:rsidR="00687E27" w:rsidRPr="00CE40BB" w14:paraId="75F10035" w14:textId="77777777" w:rsidTr="00CE40BB">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656" w:type="dxa"/>
          </w:tcPr>
          <w:p w14:paraId="48B44744" w14:textId="77777777" w:rsidR="00687E27" w:rsidRPr="007F25A1" w:rsidRDefault="00687E27" w:rsidP="007F25A1">
            <w:pPr>
              <w:spacing w:after="0"/>
              <w:rPr>
                <w:rFonts w:eastAsia="Calibri" w:cs="Segoe UI Light"/>
                <w:sz w:val="20"/>
                <w:szCs w:val="18"/>
                <w:lang w:eastAsia="et-EE"/>
              </w:rPr>
            </w:pPr>
            <w:r w:rsidRPr="007F25A1">
              <w:rPr>
                <w:rFonts w:eastAsia="Calibri" w:cs="Segoe UI Light"/>
                <w:sz w:val="20"/>
                <w:szCs w:val="18"/>
                <w:lang w:eastAsia="et-EE"/>
              </w:rPr>
              <w:t>4.</w:t>
            </w:r>
          </w:p>
        </w:tc>
        <w:tc>
          <w:tcPr>
            <w:tcW w:w="4128" w:type="dxa"/>
          </w:tcPr>
          <w:p w14:paraId="471EDDEF" w14:textId="1D91E3E5"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Osaliselt või täielikult tasumata arvetega seotud käibemaksuarvestuse korra muudatus</w:t>
            </w:r>
          </w:p>
        </w:tc>
        <w:tc>
          <w:tcPr>
            <w:tcW w:w="1409" w:type="dxa"/>
          </w:tcPr>
          <w:p w14:paraId="0634F8B0" w14:textId="00E0777A"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KMS § 29 lõige 14</w:t>
            </w:r>
          </w:p>
        </w:tc>
        <w:tc>
          <w:tcPr>
            <w:tcW w:w="1622" w:type="dxa"/>
          </w:tcPr>
          <w:p w14:paraId="393529C4" w14:textId="3E542809"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majandus</w:t>
            </w:r>
          </w:p>
        </w:tc>
        <w:tc>
          <w:tcPr>
            <w:tcW w:w="832" w:type="dxa"/>
          </w:tcPr>
          <w:p w14:paraId="47901606" w14:textId="1294AADB"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p>
        </w:tc>
        <w:tc>
          <w:tcPr>
            <w:tcW w:w="851" w:type="dxa"/>
          </w:tcPr>
          <w:p w14:paraId="12F220AD" w14:textId="454FE0B4"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15,0</w:t>
            </w:r>
          </w:p>
        </w:tc>
        <w:tc>
          <w:tcPr>
            <w:tcW w:w="850" w:type="dxa"/>
          </w:tcPr>
          <w:p w14:paraId="7DA9CB81" w14:textId="246C34A8"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15,0</w:t>
            </w:r>
          </w:p>
        </w:tc>
      </w:tr>
      <w:tr w:rsidR="00687E27" w:rsidRPr="00CE40BB" w14:paraId="38BDD465" w14:textId="77777777" w:rsidTr="00CE40BB">
        <w:trPr>
          <w:trHeight w:val="358"/>
        </w:trPr>
        <w:tc>
          <w:tcPr>
            <w:cnfStyle w:val="001000000000" w:firstRow="0" w:lastRow="0" w:firstColumn="1" w:lastColumn="0" w:oddVBand="0" w:evenVBand="0" w:oddHBand="0" w:evenHBand="0" w:firstRowFirstColumn="0" w:firstRowLastColumn="0" w:lastRowFirstColumn="0" w:lastRowLastColumn="0"/>
            <w:tcW w:w="656" w:type="dxa"/>
          </w:tcPr>
          <w:p w14:paraId="39A1E445" w14:textId="77777777" w:rsidR="00687E27" w:rsidRPr="007F25A1" w:rsidRDefault="00687E27" w:rsidP="007F25A1">
            <w:pPr>
              <w:spacing w:after="0"/>
              <w:rPr>
                <w:rFonts w:eastAsia="Calibri" w:cs="Segoe UI Light"/>
                <w:sz w:val="20"/>
                <w:szCs w:val="18"/>
                <w:lang w:eastAsia="et-EE"/>
              </w:rPr>
            </w:pPr>
            <w:r w:rsidRPr="007F25A1">
              <w:rPr>
                <w:rFonts w:eastAsia="Calibri" w:cs="Segoe UI Light"/>
                <w:sz w:val="20"/>
                <w:szCs w:val="18"/>
                <w:lang w:eastAsia="et-EE"/>
              </w:rPr>
              <w:t>5.</w:t>
            </w:r>
          </w:p>
        </w:tc>
        <w:tc>
          <w:tcPr>
            <w:tcW w:w="4128" w:type="dxa"/>
          </w:tcPr>
          <w:p w14:paraId="12BEFE04" w14:textId="0F860FD6"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Regulaarselt jaotatava kasumi madalam maksumäär 14%</w:t>
            </w:r>
            <w:r w:rsidRPr="007F25A1">
              <w:rPr>
                <w:rFonts w:eastAsia="Calibri" w:cs="Segoe UI Light"/>
                <w:bCs/>
                <w:sz w:val="20"/>
                <w:szCs w:val="18"/>
                <w:lang w:eastAsia="et-EE"/>
              </w:rPr>
              <w:tab/>
              <w:t>TMS §4 lg 5</w:t>
            </w:r>
            <w:r w:rsidRPr="007F25A1">
              <w:rPr>
                <w:rFonts w:eastAsia="Calibri" w:cs="Segoe UI Light"/>
                <w:bCs/>
                <w:sz w:val="20"/>
                <w:szCs w:val="18"/>
                <w:lang w:eastAsia="et-EE"/>
              </w:rPr>
              <w:tab/>
              <w:t>majandus</w:t>
            </w:r>
          </w:p>
        </w:tc>
        <w:tc>
          <w:tcPr>
            <w:tcW w:w="1409" w:type="dxa"/>
          </w:tcPr>
          <w:p w14:paraId="442395DA" w14:textId="30599DD8"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TMS §4 lg 5</w:t>
            </w:r>
          </w:p>
        </w:tc>
        <w:tc>
          <w:tcPr>
            <w:tcW w:w="1622" w:type="dxa"/>
          </w:tcPr>
          <w:p w14:paraId="2438A117" w14:textId="0606E8C7"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majandus</w:t>
            </w:r>
          </w:p>
        </w:tc>
        <w:tc>
          <w:tcPr>
            <w:tcW w:w="832" w:type="dxa"/>
          </w:tcPr>
          <w:p w14:paraId="2B88C17A" w14:textId="662CCDA5"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64,8</w:t>
            </w:r>
          </w:p>
        </w:tc>
        <w:tc>
          <w:tcPr>
            <w:tcW w:w="851" w:type="dxa"/>
          </w:tcPr>
          <w:p w14:paraId="37FDE668" w14:textId="5FDA311E"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71,9</w:t>
            </w:r>
          </w:p>
        </w:tc>
        <w:tc>
          <w:tcPr>
            <w:tcW w:w="850" w:type="dxa"/>
          </w:tcPr>
          <w:p w14:paraId="38734228" w14:textId="509B479B"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74,5</w:t>
            </w:r>
          </w:p>
        </w:tc>
      </w:tr>
      <w:tr w:rsidR="00687E27" w:rsidRPr="00CE40BB" w14:paraId="5827B737" w14:textId="77777777" w:rsidTr="00CE40B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56" w:type="dxa"/>
          </w:tcPr>
          <w:p w14:paraId="6589F4B1" w14:textId="77777777" w:rsidR="00687E27" w:rsidRPr="007F25A1" w:rsidRDefault="00687E27" w:rsidP="007F25A1">
            <w:pPr>
              <w:spacing w:after="0"/>
              <w:rPr>
                <w:rFonts w:eastAsia="Calibri" w:cs="Segoe UI Light"/>
                <w:sz w:val="20"/>
                <w:szCs w:val="18"/>
                <w:lang w:eastAsia="et-EE"/>
              </w:rPr>
            </w:pPr>
            <w:r w:rsidRPr="007F25A1">
              <w:rPr>
                <w:rFonts w:eastAsia="Calibri" w:cs="Segoe UI Light"/>
                <w:sz w:val="20"/>
                <w:szCs w:val="18"/>
                <w:lang w:eastAsia="et-EE"/>
              </w:rPr>
              <w:t>6.</w:t>
            </w:r>
          </w:p>
        </w:tc>
        <w:tc>
          <w:tcPr>
            <w:tcW w:w="4128" w:type="dxa"/>
          </w:tcPr>
          <w:p w14:paraId="787D0782" w14:textId="2F7C9F6C"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Täiendav maksuvaba tulu alates teisest lapsest</w:t>
            </w:r>
          </w:p>
        </w:tc>
        <w:tc>
          <w:tcPr>
            <w:tcW w:w="1409" w:type="dxa"/>
          </w:tcPr>
          <w:p w14:paraId="6F9604ED" w14:textId="2F86E291"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TMS §23¹</w:t>
            </w:r>
          </w:p>
        </w:tc>
        <w:tc>
          <w:tcPr>
            <w:tcW w:w="1622" w:type="dxa"/>
          </w:tcPr>
          <w:p w14:paraId="6947FE4B" w14:textId="1A72C642"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 xml:space="preserve"> sotsiaalne kaitse</w:t>
            </w:r>
          </w:p>
        </w:tc>
        <w:tc>
          <w:tcPr>
            <w:tcW w:w="832" w:type="dxa"/>
          </w:tcPr>
          <w:p w14:paraId="09F36961" w14:textId="7016DAE0"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27,9</w:t>
            </w:r>
          </w:p>
        </w:tc>
        <w:tc>
          <w:tcPr>
            <w:tcW w:w="851" w:type="dxa"/>
          </w:tcPr>
          <w:p w14:paraId="315C7FF3" w14:textId="37D7ADD9"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27,9</w:t>
            </w:r>
          </w:p>
        </w:tc>
        <w:tc>
          <w:tcPr>
            <w:tcW w:w="850" w:type="dxa"/>
          </w:tcPr>
          <w:p w14:paraId="5A1E5174" w14:textId="68353C04"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27,9</w:t>
            </w:r>
          </w:p>
        </w:tc>
      </w:tr>
      <w:tr w:rsidR="00687E27" w:rsidRPr="00CE40BB" w14:paraId="3878D676" w14:textId="77777777" w:rsidTr="007F25A1">
        <w:trPr>
          <w:trHeight w:val="410"/>
        </w:trPr>
        <w:tc>
          <w:tcPr>
            <w:cnfStyle w:val="001000000000" w:firstRow="0" w:lastRow="0" w:firstColumn="1" w:lastColumn="0" w:oddVBand="0" w:evenVBand="0" w:oddHBand="0" w:evenHBand="0" w:firstRowFirstColumn="0" w:firstRowLastColumn="0" w:lastRowFirstColumn="0" w:lastRowLastColumn="0"/>
            <w:tcW w:w="656" w:type="dxa"/>
          </w:tcPr>
          <w:p w14:paraId="06AC9E4A" w14:textId="77777777" w:rsidR="00687E27" w:rsidRPr="007F25A1" w:rsidRDefault="00687E27" w:rsidP="007F25A1">
            <w:pPr>
              <w:spacing w:after="0"/>
              <w:rPr>
                <w:rFonts w:eastAsia="Calibri" w:cs="Segoe UI Light"/>
                <w:sz w:val="20"/>
                <w:szCs w:val="18"/>
                <w:lang w:eastAsia="et-EE"/>
              </w:rPr>
            </w:pPr>
            <w:r w:rsidRPr="007F25A1">
              <w:rPr>
                <w:rFonts w:eastAsia="Calibri" w:cs="Segoe UI Light"/>
                <w:sz w:val="20"/>
                <w:szCs w:val="18"/>
                <w:lang w:eastAsia="et-EE"/>
              </w:rPr>
              <w:t>7.</w:t>
            </w:r>
          </w:p>
        </w:tc>
        <w:tc>
          <w:tcPr>
            <w:tcW w:w="4128" w:type="dxa"/>
          </w:tcPr>
          <w:p w14:paraId="2741202D" w14:textId="0B8EF0B3"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Täiendav maksuvaba tulu abikaasa eest</w:t>
            </w:r>
          </w:p>
        </w:tc>
        <w:tc>
          <w:tcPr>
            <w:tcW w:w="1409" w:type="dxa"/>
          </w:tcPr>
          <w:p w14:paraId="087C2708" w14:textId="5D8E2190" w:rsidR="00687E27" w:rsidRPr="007F25A1" w:rsidRDefault="007F25A1"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TMS §23</w:t>
            </w:r>
            <w:r w:rsidR="00D21669" w:rsidRPr="00D21669">
              <w:rPr>
                <w:rFonts w:eastAsia="Calibri" w:cs="Segoe UI Light"/>
                <w:bCs/>
                <w:sz w:val="20"/>
                <w:szCs w:val="18"/>
                <w:vertAlign w:val="superscript"/>
                <w:lang w:eastAsia="et-EE"/>
              </w:rPr>
              <w:t>4</w:t>
            </w:r>
          </w:p>
        </w:tc>
        <w:tc>
          <w:tcPr>
            <w:tcW w:w="1622" w:type="dxa"/>
          </w:tcPr>
          <w:p w14:paraId="1DF218BA" w14:textId="1A6804D8"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 xml:space="preserve"> sotsiaalne kaitse</w:t>
            </w:r>
          </w:p>
        </w:tc>
        <w:tc>
          <w:tcPr>
            <w:tcW w:w="832" w:type="dxa"/>
          </w:tcPr>
          <w:p w14:paraId="6BAB6199" w14:textId="5D4C4BA7"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6,3</w:t>
            </w:r>
          </w:p>
        </w:tc>
        <w:tc>
          <w:tcPr>
            <w:tcW w:w="851" w:type="dxa"/>
          </w:tcPr>
          <w:p w14:paraId="18327E6B" w14:textId="52FF3C94"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6,3</w:t>
            </w:r>
          </w:p>
        </w:tc>
        <w:tc>
          <w:tcPr>
            <w:tcW w:w="850" w:type="dxa"/>
          </w:tcPr>
          <w:p w14:paraId="28CC161B" w14:textId="24C3DDB9"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6,3</w:t>
            </w:r>
          </w:p>
        </w:tc>
      </w:tr>
      <w:tr w:rsidR="007F25A1" w:rsidRPr="00CE40BB" w14:paraId="36C06F28" w14:textId="77777777" w:rsidTr="00CE40BB">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56" w:type="dxa"/>
          </w:tcPr>
          <w:p w14:paraId="42251ECB" w14:textId="7E066199" w:rsidR="007F25A1" w:rsidRPr="007F25A1" w:rsidRDefault="007F25A1" w:rsidP="007F25A1">
            <w:pPr>
              <w:spacing w:after="0"/>
              <w:rPr>
                <w:rFonts w:eastAsia="Calibri" w:cs="Segoe UI Light"/>
                <w:sz w:val="20"/>
                <w:szCs w:val="18"/>
                <w:lang w:eastAsia="et-EE"/>
              </w:rPr>
            </w:pPr>
            <w:r w:rsidRPr="007F25A1">
              <w:rPr>
                <w:rFonts w:eastAsia="Calibri" w:cs="Segoe UI Light"/>
                <w:sz w:val="20"/>
                <w:szCs w:val="18"/>
                <w:lang w:eastAsia="et-EE"/>
              </w:rPr>
              <w:t>8.</w:t>
            </w:r>
          </w:p>
        </w:tc>
        <w:tc>
          <w:tcPr>
            <w:tcW w:w="4128" w:type="dxa"/>
          </w:tcPr>
          <w:p w14:paraId="251B248B" w14:textId="5B6D31B8" w:rsidR="007F25A1" w:rsidRPr="007F25A1" w:rsidRDefault="007F25A1"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Maksuvaba tulu vanaduspensionieas</w:t>
            </w:r>
          </w:p>
        </w:tc>
        <w:tc>
          <w:tcPr>
            <w:tcW w:w="1409" w:type="dxa"/>
          </w:tcPr>
          <w:p w14:paraId="1D55B753" w14:textId="580FB49B" w:rsidR="007F25A1" w:rsidRPr="007F25A1" w:rsidRDefault="00D21669"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TMS §23</w:t>
            </w:r>
            <w:r>
              <w:rPr>
                <w:rFonts w:eastAsia="Calibri" w:cs="Segoe UI Light"/>
                <w:bCs/>
                <w:sz w:val="20"/>
                <w:szCs w:val="18"/>
                <w:vertAlign w:val="superscript"/>
                <w:lang w:eastAsia="et-EE"/>
              </w:rPr>
              <w:t>5</w:t>
            </w:r>
          </w:p>
        </w:tc>
        <w:tc>
          <w:tcPr>
            <w:tcW w:w="1622" w:type="dxa"/>
          </w:tcPr>
          <w:p w14:paraId="7C66A1EC" w14:textId="02EA529D" w:rsidR="007F25A1" w:rsidRPr="007F25A1" w:rsidRDefault="00D21669"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sotsiaalne kaitse</w:t>
            </w:r>
          </w:p>
        </w:tc>
        <w:tc>
          <w:tcPr>
            <w:tcW w:w="832" w:type="dxa"/>
          </w:tcPr>
          <w:p w14:paraId="085ED279" w14:textId="77777777" w:rsidR="007F25A1" w:rsidRPr="007F25A1" w:rsidRDefault="007F25A1"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p>
        </w:tc>
        <w:tc>
          <w:tcPr>
            <w:tcW w:w="851" w:type="dxa"/>
          </w:tcPr>
          <w:p w14:paraId="38BD29A0" w14:textId="77777777" w:rsidR="007F25A1" w:rsidRPr="007F25A1" w:rsidRDefault="007F25A1"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p>
        </w:tc>
        <w:tc>
          <w:tcPr>
            <w:tcW w:w="850" w:type="dxa"/>
          </w:tcPr>
          <w:p w14:paraId="4BF2A568" w14:textId="53B3C885" w:rsidR="007F25A1" w:rsidRPr="007F25A1" w:rsidRDefault="00D21669"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Pr>
                <w:rFonts w:eastAsia="Calibri" w:cs="Segoe UI Light"/>
                <w:bCs/>
                <w:sz w:val="20"/>
                <w:szCs w:val="18"/>
                <w:lang w:eastAsia="et-EE"/>
              </w:rPr>
              <w:t>99,8</w:t>
            </w:r>
          </w:p>
        </w:tc>
      </w:tr>
      <w:tr w:rsidR="00687E27" w:rsidRPr="00CE40BB" w14:paraId="1854318F" w14:textId="77777777" w:rsidTr="00CE40BB">
        <w:trPr>
          <w:trHeight w:val="215"/>
        </w:trPr>
        <w:tc>
          <w:tcPr>
            <w:cnfStyle w:val="001000000000" w:firstRow="0" w:lastRow="0" w:firstColumn="1" w:lastColumn="0" w:oddVBand="0" w:evenVBand="0" w:oddHBand="0" w:evenHBand="0" w:firstRowFirstColumn="0" w:firstRowLastColumn="0" w:lastRowFirstColumn="0" w:lastRowLastColumn="0"/>
            <w:tcW w:w="656" w:type="dxa"/>
          </w:tcPr>
          <w:p w14:paraId="0EC83FBE" w14:textId="28EA65DC" w:rsidR="00687E27" w:rsidRPr="007F25A1" w:rsidRDefault="007F25A1" w:rsidP="007F25A1">
            <w:pPr>
              <w:spacing w:after="0"/>
              <w:rPr>
                <w:rFonts w:eastAsia="Calibri" w:cs="Segoe UI Light"/>
                <w:sz w:val="20"/>
                <w:szCs w:val="18"/>
                <w:lang w:eastAsia="et-EE"/>
              </w:rPr>
            </w:pPr>
            <w:r>
              <w:rPr>
                <w:rFonts w:eastAsia="Calibri" w:cs="Segoe UI Light"/>
                <w:sz w:val="20"/>
                <w:szCs w:val="18"/>
                <w:lang w:eastAsia="et-EE"/>
              </w:rPr>
              <w:t>9</w:t>
            </w:r>
            <w:r w:rsidR="00687E27" w:rsidRPr="007F25A1">
              <w:rPr>
                <w:rFonts w:eastAsia="Calibri" w:cs="Segoe UI Light"/>
                <w:sz w:val="20"/>
                <w:szCs w:val="18"/>
                <w:lang w:eastAsia="et-EE"/>
              </w:rPr>
              <w:t>.</w:t>
            </w:r>
          </w:p>
        </w:tc>
        <w:tc>
          <w:tcPr>
            <w:tcW w:w="4128" w:type="dxa"/>
          </w:tcPr>
          <w:p w14:paraId="33420B74" w14:textId="6D19BEB2"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Eluasemelaenu intresside mahaarvamine</w:t>
            </w:r>
          </w:p>
        </w:tc>
        <w:tc>
          <w:tcPr>
            <w:tcW w:w="1409" w:type="dxa"/>
          </w:tcPr>
          <w:p w14:paraId="07BE3A29" w14:textId="1A58F0A6"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TMS §25</w:t>
            </w:r>
          </w:p>
        </w:tc>
        <w:tc>
          <w:tcPr>
            <w:tcW w:w="1622" w:type="dxa"/>
          </w:tcPr>
          <w:p w14:paraId="27C9E248" w14:textId="7517BC48"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 xml:space="preserve"> sotsiaalne kaitse</w:t>
            </w:r>
          </w:p>
        </w:tc>
        <w:tc>
          <w:tcPr>
            <w:tcW w:w="832" w:type="dxa"/>
          </w:tcPr>
          <w:p w14:paraId="06FA9E28" w14:textId="091DC186"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6,5</w:t>
            </w:r>
          </w:p>
        </w:tc>
        <w:tc>
          <w:tcPr>
            <w:tcW w:w="851" w:type="dxa"/>
          </w:tcPr>
          <w:p w14:paraId="0322CABB" w14:textId="5595F7D0"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5,6</w:t>
            </w:r>
          </w:p>
        </w:tc>
        <w:tc>
          <w:tcPr>
            <w:tcW w:w="850" w:type="dxa"/>
          </w:tcPr>
          <w:p w14:paraId="57920845" w14:textId="7550C0FF"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6,2</w:t>
            </w:r>
          </w:p>
        </w:tc>
      </w:tr>
      <w:tr w:rsidR="00687E27" w:rsidRPr="00CE40BB" w14:paraId="6CECBAE0" w14:textId="77777777" w:rsidTr="00CE40B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56" w:type="dxa"/>
          </w:tcPr>
          <w:p w14:paraId="70FE0367" w14:textId="36404C24" w:rsidR="00687E27" w:rsidRPr="007F25A1" w:rsidRDefault="007F25A1" w:rsidP="007F25A1">
            <w:pPr>
              <w:spacing w:after="0"/>
              <w:rPr>
                <w:rFonts w:eastAsia="Calibri" w:cs="Segoe UI Light"/>
                <w:sz w:val="20"/>
                <w:szCs w:val="18"/>
                <w:lang w:eastAsia="et-EE"/>
              </w:rPr>
            </w:pPr>
            <w:r>
              <w:rPr>
                <w:rFonts w:eastAsia="Calibri" w:cs="Segoe UI Light"/>
                <w:sz w:val="20"/>
                <w:szCs w:val="18"/>
                <w:lang w:eastAsia="et-EE"/>
              </w:rPr>
              <w:t>10</w:t>
            </w:r>
            <w:r w:rsidR="00687E27" w:rsidRPr="007F25A1">
              <w:rPr>
                <w:rFonts w:eastAsia="Calibri" w:cs="Segoe UI Light"/>
                <w:sz w:val="20"/>
                <w:szCs w:val="18"/>
                <w:lang w:eastAsia="et-EE"/>
              </w:rPr>
              <w:t>.</w:t>
            </w:r>
          </w:p>
        </w:tc>
        <w:tc>
          <w:tcPr>
            <w:tcW w:w="4128" w:type="dxa"/>
          </w:tcPr>
          <w:p w14:paraId="5BD5790F" w14:textId="3301866A"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Koolituskulude mahaarvamine</w:t>
            </w:r>
          </w:p>
        </w:tc>
        <w:tc>
          <w:tcPr>
            <w:tcW w:w="1409" w:type="dxa"/>
          </w:tcPr>
          <w:p w14:paraId="27920AFE" w14:textId="5EE04683"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TMS §26</w:t>
            </w:r>
          </w:p>
        </w:tc>
        <w:tc>
          <w:tcPr>
            <w:tcW w:w="1622" w:type="dxa"/>
          </w:tcPr>
          <w:p w14:paraId="28BC843F" w14:textId="14724CD1"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 xml:space="preserve"> sotsiaalne kaitse</w:t>
            </w:r>
          </w:p>
        </w:tc>
        <w:tc>
          <w:tcPr>
            <w:tcW w:w="832" w:type="dxa"/>
          </w:tcPr>
          <w:p w14:paraId="632A33C9" w14:textId="3609000E"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12,6</w:t>
            </w:r>
          </w:p>
        </w:tc>
        <w:tc>
          <w:tcPr>
            <w:tcW w:w="851" w:type="dxa"/>
          </w:tcPr>
          <w:p w14:paraId="5DD0B3D6" w14:textId="1253F806"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13,4</w:t>
            </w:r>
          </w:p>
        </w:tc>
        <w:tc>
          <w:tcPr>
            <w:tcW w:w="850" w:type="dxa"/>
          </w:tcPr>
          <w:p w14:paraId="65118A1F" w14:textId="3A5EB6FA"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15,4</w:t>
            </w:r>
          </w:p>
        </w:tc>
      </w:tr>
      <w:tr w:rsidR="00687E27" w:rsidRPr="00CE40BB" w14:paraId="7A85EE4D" w14:textId="77777777" w:rsidTr="00CE40BB">
        <w:trPr>
          <w:trHeight w:val="358"/>
        </w:trPr>
        <w:tc>
          <w:tcPr>
            <w:cnfStyle w:val="001000000000" w:firstRow="0" w:lastRow="0" w:firstColumn="1" w:lastColumn="0" w:oddVBand="0" w:evenVBand="0" w:oddHBand="0" w:evenHBand="0" w:firstRowFirstColumn="0" w:firstRowLastColumn="0" w:lastRowFirstColumn="0" w:lastRowLastColumn="0"/>
            <w:tcW w:w="656" w:type="dxa"/>
          </w:tcPr>
          <w:p w14:paraId="50CA07A1" w14:textId="6A1DC0BB" w:rsidR="00687E27" w:rsidRPr="007F25A1" w:rsidRDefault="00687E27" w:rsidP="007F25A1">
            <w:pPr>
              <w:spacing w:after="0"/>
              <w:rPr>
                <w:rFonts w:eastAsia="Calibri" w:cs="Segoe UI Light"/>
                <w:sz w:val="20"/>
                <w:szCs w:val="18"/>
                <w:lang w:eastAsia="et-EE"/>
              </w:rPr>
            </w:pPr>
            <w:r w:rsidRPr="007F25A1">
              <w:rPr>
                <w:rFonts w:eastAsia="Calibri" w:cs="Segoe UI Light"/>
                <w:sz w:val="20"/>
                <w:szCs w:val="18"/>
                <w:lang w:eastAsia="et-EE"/>
              </w:rPr>
              <w:t>1</w:t>
            </w:r>
            <w:r w:rsidR="007F25A1">
              <w:rPr>
                <w:rFonts w:eastAsia="Calibri" w:cs="Segoe UI Light"/>
                <w:sz w:val="20"/>
                <w:szCs w:val="18"/>
                <w:lang w:eastAsia="et-EE"/>
              </w:rPr>
              <w:t>1</w:t>
            </w:r>
            <w:r w:rsidRPr="007F25A1">
              <w:rPr>
                <w:rFonts w:eastAsia="Calibri" w:cs="Segoe UI Light"/>
                <w:sz w:val="20"/>
                <w:szCs w:val="18"/>
                <w:lang w:eastAsia="et-EE"/>
              </w:rPr>
              <w:t>.</w:t>
            </w:r>
          </w:p>
        </w:tc>
        <w:tc>
          <w:tcPr>
            <w:tcW w:w="4128" w:type="dxa"/>
          </w:tcPr>
          <w:p w14:paraId="719386D3" w14:textId="2794D3E0"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Kingitused ja annetused</w:t>
            </w:r>
          </w:p>
        </w:tc>
        <w:tc>
          <w:tcPr>
            <w:tcW w:w="1409" w:type="dxa"/>
          </w:tcPr>
          <w:p w14:paraId="43A8369A" w14:textId="3C9A7A80"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TMS §27 lg 1, 2, 3, 6</w:t>
            </w:r>
          </w:p>
        </w:tc>
        <w:tc>
          <w:tcPr>
            <w:tcW w:w="1622" w:type="dxa"/>
          </w:tcPr>
          <w:p w14:paraId="274385CB" w14:textId="5FDAFB2C"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 xml:space="preserve"> sotsiaalne kaitse</w:t>
            </w:r>
          </w:p>
        </w:tc>
        <w:tc>
          <w:tcPr>
            <w:tcW w:w="832" w:type="dxa"/>
          </w:tcPr>
          <w:p w14:paraId="64707A09" w14:textId="5E9E6285"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4,5</w:t>
            </w:r>
          </w:p>
        </w:tc>
        <w:tc>
          <w:tcPr>
            <w:tcW w:w="851" w:type="dxa"/>
          </w:tcPr>
          <w:p w14:paraId="736D80DA" w14:textId="7D367004"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4,9</w:t>
            </w:r>
          </w:p>
        </w:tc>
        <w:tc>
          <w:tcPr>
            <w:tcW w:w="850" w:type="dxa"/>
          </w:tcPr>
          <w:p w14:paraId="4A069B70" w14:textId="2C743248"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5,1</w:t>
            </w:r>
          </w:p>
        </w:tc>
      </w:tr>
      <w:tr w:rsidR="00687E27" w:rsidRPr="00CE40BB" w14:paraId="525D94EF" w14:textId="77777777" w:rsidTr="00CE40BB">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656" w:type="dxa"/>
          </w:tcPr>
          <w:p w14:paraId="7F13FF46" w14:textId="16555145" w:rsidR="00687E27" w:rsidRPr="007F25A1" w:rsidRDefault="00687E27" w:rsidP="007F25A1">
            <w:pPr>
              <w:spacing w:after="0"/>
              <w:rPr>
                <w:rFonts w:eastAsia="Calibri" w:cs="Segoe UI Light"/>
                <w:sz w:val="20"/>
                <w:szCs w:val="18"/>
                <w:lang w:eastAsia="et-EE"/>
              </w:rPr>
            </w:pPr>
            <w:r w:rsidRPr="007F25A1">
              <w:rPr>
                <w:rFonts w:eastAsia="Calibri" w:cs="Segoe UI Light"/>
                <w:sz w:val="20"/>
                <w:szCs w:val="18"/>
                <w:lang w:eastAsia="et-EE"/>
              </w:rPr>
              <w:t>1</w:t>
            </w:r>
            <w:r w:rsidR="007F25A1">
              <w:rPr>
                <w:rFonts w:eastAsia="Calibri" w:cs="Segoe UI Light"/>
                <w:sz w:val="20"/>
                <w:szCs w:val="18"/>
                <w:lang w:eastAsia="et-EE"/>
              </w:rPr>
              <w:t>2</w:t>
            </w:r>
            <w:r w:rsidRPr="007F25A1">
              <w:rPr>
                <w:rFonts w:eastAsia="Calibri" w:cs="Segoe UI Light"/>
                <w:sz w:val="20"/>
                <w:szCs w:val="18"/>
                <w:lang w:eastAsia="et-EE"/>
              </w:rPr>
              <w:t>.</w:t>
            </w:r>
          </w:p>
        </w:tc>
        <w:tc>
          <w:tcPr>
            <w:tcW w:w="4128" w:type="dxa"/>
          </w:tcPr>
          <w:p w14:paraId="3D3511A6" w14:textId="0FB5938D"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Kindlustusmaksed ning pensionifondi osakute soetamine</w:t>
            </w:r>
          </w:p>
        </w:tc>
        <w:tc>
          <w:tcPr>
            <w:tcW w:w="1409" w:type="dxa"/>
          </w:tcPr>
          <w:p w14:paraId="37F2D277" w14:textId="2A681273"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TMS §28</w:t>
            </w:r>
          </w:p>
        </w:tc>
        <w:tc>
          <w:tcPr>
            <w:tcW w:w="1622" w:type="dxa"/>
          </w:tcPr>
          <w:p w14:paraId="7980EBCE" w14:textId="7B4D00C6"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elamu- ja kommunaalehitus</w:t>
            </w:r>
          </w:p>
        </w:tc>
        <w:tc>
          <w:tcPr>
            <w:tcW w:w="832" w:type="dxa"/>
          </w:tcPr>
          <w:p w14:paraId="61E3301A" w14:textId="00B9AC22"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8,1</w:t>
            </w:r>
          </w:p>
        </w:tc>
        <w:tc>
          <w:tcPr>
            <w:tcW w:w="851" w:type="dxa"/>
          </w:tcPr>
          <w:p w14:paraId="3A861A1D" w14:textId="6E0D3BC3"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8,7</w:t>
            </w:r>
          </w:p>
        </w:tc>
        <w:tc>
          <w:tcPr>
            <w:tcW w:w="850" w:type="dxa"/>
          </w:tcPr>
          <w:p w14:paraId="63B92F6F" w14:textId="0CBA9683"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9,0</w:t>
            </w:r>
          </w:p>
        </w:tc>
      </w:tr>
      <w:tr w:rsidR="00687E27" w:rsidRPr="00CE40BB" w14:paraId="47534765" w14:textId="77777777" w:rsidTr="00CE40BB">
        <w:trPr>
          <w:trHeight w:val="635"/>
        </w:trPr>
        <w:tc>
          <w:tcPr>
            <w:cnfStyle w:val="001000000000" w:firstRow="0" w:lastRow="0" w:firstColumn="1" w:lastColumn="0" w:oddVBand="0" w:evenVBand="0" w:oddHBand="0" w:evenHBand="0" w:firstRowFirstColumn="0" w:firstRowLastColumn="0" w:lastRowFirstColumn="0" w:lastRowLastColumn="0"/>
            <w:tcW w:w="656" w:type="dxa"/>
          </w:tcPr>
          <w:p w14:paraId="6B2765F8" w14:textId="56A2B4AE" w:rsidR="00687E27" w:rsidRPr="007F25A1" w:rsidRDefault="00687E27" w:rsidP="007F25A1">
            <w:pPr>
              <w:spacing w:after="0"/>
              <w:rPr>
                <w:rFonts w:eastAsia="Calibri" w:cs="Segoe UI Light"/>
                <w:sz w:val="20"/>
                <w:szCs w:val="18"/>
                <w:lang w:eastAsia="et-EE"/>
              </w:rPr>
            </w:pPr>
            <w:r w:rsidRPr="007F25A1">
              <w:rPr>
                <w:rFonts w:eastAsia="Calibri" w:cs="Segoe UI Light"/>
                <w:sz w:val="20"/>
                <w:szCs w:val="18"/>
                <w:lang w:eastAsia="et-EE"/>
              </w:rPr>
              <w:t>1</w:t>
            </w:r>
            <w:r w:rsidR="007F25A1">
              <w:rPr>
                <w:rFonts w:eastAsia="Calibri" w:cs="Segoe UI Light"/>
                <w:sz w:val="20"/>
                <w:szCs w:val="18"/>
                <w:lang w:eastAsia="et-EE"/>
              </w:rPr>
              <w:t>3</w:t>
            </w:r>
            <w:r w:rsidRPr="007F25A1">
              <w:rPr>
                <w:rFonts w:eastAsia="Calibri" w:cs="Segoe UI Light"/>
                <w:sz w:val="20"/>
                <w:szCs w:val="18"/>
                <w:lang w:eastAsia="et-EE"/>
              </w:rPr>
              <w:t>.</w:t>
            </w:r>
          </w:p>
        </w:tc>
        <w:tc>
          <w:tcPr>
            <w:tcW w:w="4128" w:type="dxa"/>
          </w:tcPr>
          <w:p w14:paraId="617FD06E" w14:textId="0B37DCC1"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 xml:space="preserve">FIE täiendav maksuvaba tulu </w:t>
            </w:r>
            <w:proofErr w:type="spellStart"/>
            <w:r w:rsidRPr="007F25A1">
              <w:rPr>
                <w:rFonts w:eastAsia="Calibri" w:cs="Segoe UI Light"/>
                <w:bCs/>
                <w:sz w:val="20"/>
                <w:szCs w:val="18"/>
                <w:lang w:eastAsia="et-EE"/>
              </w:rPr>
              <w:t>põllumajandus-saaduste</w:t>
            </w:r>
            <w:proofErr w:type="spellEnd"/>
            <w:r w:rsidRPr="007F25A1">
              <w:rPr>
                <w:rFonts w:eastAsia="Calibri" w:cs="Segoe UI Light"/>
                <w:bCs/>
                <w:sz w:val="20"/>
                <w:szCs w:val="18"/>
                <w:lang w:eastAsia="et-EE"/>
              </w:rPr>
              <w:t xml:space="preserve"> või metsamaterjali võõrandamisel</w:t>
            </w:r>
          </w:p>
        </w:tc>
        <w:tc>
          <w:tcPr>
            <w:tcW w:w="1409" w:type="dxa"/>
          </w:tcPr>
          <w:p w14:paraId="7F6BF72E" w14:textId="2E88C962"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TMS §32 lg 4</w:t>
            </w:r>
          </w:p>
        </w:tc>
        <w:tc>
          <w:tcPr>
            <w:tcW w:w="1622" w:type="dxa"/>
          </w:tcPr>
          <w:p w14:paraId="6BF69D23" w14:textId="078173C0"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haridus</w:t>
            </w:r>
          </w:p>
        </w:tc>
        <w:tc>
          <w:tcPr>
            <w:tcW w:w="832" w:type="dxa"/>
          </w:tcPr>
          <w:p w14:paraId="6EF74A9D" w14:textId="6D2CE98B"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9,0</w:t>
            </w:r>
          </w:p>
        </w:tc>
        <w:tc>
          <w:tcPr>
            <w:tcW w:w="851" w:type="dxa"/>
          </w:tcPr>
          <w:p w14:paraId="5A0BD3FC" w14:textId="6F085E0C"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9,0</w:t>
            </w:r>
          </w:p>
        </w:tc>
        <w:tc>
          <w:tcPr>
            <w:tcW w:w="850" w:type="dxa"/>
          </w:tcPr>
          <w:p w14:paraId="1FF64F77" w14:textId="2F0CE992"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9,0</w:t>
            </w:r>
          </w:p>
        </w:tc>
      </w:tr>
      <w:tr w:rsidR="00687E27" w:rsidRPr="00CE40BB" w14:paraId="6684B825" w14:textId="77777777" w:rsidTr="00CE40BB">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56" w:type="dxa"/>
          </w:tcPr>
          <w:p w14:paraId="60E6CC40" w14:textId="3037EF11" w:rsidR="00687E27" w:rsidRPr="007F25A1" w:rsidRDefault="00687E27" w:rsidP="007F25A1">
            <w:pPr>
              <w:spacing w:after="0"/>
              <w:rPr>
                <w:rFonts w:eastAsia="Calibri" w:cs="Segoe UI Light"/>
                <w:sz w:val="20"/>
                <w:szCs w:val="18"/>
                <w:lang w:eastAsia="et-EE"/>
              </w:rPr>
            </w:pPr>
            <w:r w:rsidRPr="007F25A1">
              <w:rPr>
                <w:rFonts w:eastAsia="Calibri" w:cs="Segoe UI Light"/>
                <w:sz w:val="20"/>
                <w:szCs w:val="18"/>
                <w:lang w:eastAsia="et-EE"/>
              </w:rPr>
              <w:t>1</w:t>
            </w:r>
            <w:r w:rsidR="007F25A1">
              <w:rPr>
                <w:rFonts w:eastAsia="Calibri" w:cs="Segoe UI Light"/>
                <w:sz w:val="20"/>
                <w:szCs w:val="18"/>
                <w:lang w:eastAsia="et-EE"/>
              </w:rPr>
              <w:t>4</w:t>
            </w:r>
            <w:r w:rsidRPr="007F25A1">
              <w:rPr>
                <w:rFonts w:eastAsia="Calibri" w:cs="Segoe UI Light"/>
                <w:sz w:val="20"/>
                <w:szCs w:val="18"/>
                <w:lang w:eastAsia="et-EE"/>
              </w:rPr>
              <w:t>.</w:t>
            </w:r>
          </w:p>
        </w:tc>
        <w:tc>
          <w:tcPr>
            <w:tcW w:w="4128" w:type="dxa"/>
          </w:tcPr>
          <w:p w14:paraId="113695EF" w14:textId="67A08078"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Maksuvaba töötaja terviseedendamise kulu</w:t>
            </w:r>
          </w:p>
        </w:tc>
        <w:tc>
          <w:tcPr>
            <w:tcW w:w="1409" w:type="dxa"/>
          </w:tcPr>
          <w:p w14:paraId="7622ADC4" w14:textId="6772D277"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proofErr w:type="spellStart"/>
            <w:r w:rsidRPr="007F25A1">
              <w:rPr>
                <w:rFonts w:eastAsia="Calibri" w:cs="Segoe UI Light"/>
                <w:bCs/>
                <w:sz w:val="20"/>
                <w:szCs w:val="18"/>
                <w:lang w:eastAsia="et-EE"/>
              </w:rPr>
              <w:t>TuMS</w:t>
            </w:r>
            <w:proofErr w:type="spellEnd"/>
            <w:r w:rsidRPr="007F25A1">
              <w:rPr>
                <w:rFonts w:eastAsia="Calibri" w:cs="Segoe UI Light"/>
                <w:bCs/>
                <w:sz w:val="20"/>
                <w:szCs w:val="18"/>
                <w:lang w:eastAsia="et-EE"/>
              </w:rPr>
              <w:t xml:space="preserve"> §48 lg 55</w:t>
            </w:r>
          </w:p>
        </w:tc>
        <w:tc>
          <w:tcPr>
            <w:tcW w:w="1622" w:type="dxa"/>
          </w:tcPr>
          <w:p w14:paraId="2B711E08" w14:textId="312344E8"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tervishoid</w:t>
            </w:r>
          </w:p>
        </w:tc>
        <w:tc>
          <w:tcPr>
            <w:tcW w:w="832" w:type="dxa"/>
          </w:tcPr>
          <w:p w14:paraId="2D99ED0D" w14:textId="1D695F95"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6,0</w:t>
            </w:r>
          </w:p>
        </w:tc>
        <w:tc>
          <w:tcPr>
            <w:tcW w:w="851" w:type="dxa"/>
          </w:tcPr>
          <w:p w14:paraId="5A5541B7" w14:textId="6E848CED"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6,4</w:t>
            </w:r>
          </w:p>
        </w:tc>
        <w:tc>
          <w:tcPr>
            <w:tcW w:w="850" w:type="dxa"/>
          </w:tcPr>
          <w:p w14:paraId="0527E4E4" w14:textId="6E1F49F8"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6,7</w:t>
            </w:r>
          </w:p>
        </w:tc>
      </w:tr>
      <w:tr w:rsidR="00687E27" w:rsidRPr="00CE40BB" w14:paraId="403DEFF4" w14:textId="77777777" w:rsidTr="00CE40BB">
        <w:trPr>
          <w:trHeight w:val="502"/>
        </w:trPr>
        <w:tc>
          <w:tcPr>
            <w:cnfStyle w:val="001000000000" w:firstRow="0" w:lastRow="0" w:firstColumn="1" w:lastColumn="0" w:oddVBand="0" w:evenVBand="0" w:oddHBand="0" w:evenHBand="0" w:firstRowFirstColumn="0" w:firstRowLastColumn="0" w:lastRowFirstColumn="0" w:lastRowLastColumn="0"/>
            <w:tcW w:w="656" w:type="dxa"/>
          </w:tcPr>
          <w:p w14:paraId="0C9961EC" w14:textId="31779C81" w:rsidR="00687E27" w:rsidRPr="007F25A1" w:rsidRDefault="00687E27" w:rsidP="007F25A1">
            <w:pPr>
              <w:spacing w:after="0"/>
              <w:rPr>
                <w:rFonts w:eastAsia="Calibri" w:cs="Segoe UI Light"/>
                <w:sz w:val="20"/>
                <w:szCs w:val="18"/>
                <w:lang w:eastAsia="et-EE"/>
              </w:rPr>
            </w:pPr>
            <w:r w:rsidRPr="007F25A1">
              <w:rPr>
                <w:rFonts w:eastAsia="Calibri" w:cs="Segoe UI Light"/>
                <w:sz w:val="20"/>
                <w:szCs w:val="18"/>
                <w:lang w:eastAsia="et-EE"/>
              </w:rPr>
              <w:t>1</w:t>
            </w:r>
            <w:r w:rsidR="007F25A1">
              <w:rPr>
                <w:rFonts w:eastAsia="Calibri" w:cs="Segoe UI Light"/>
                <w:sz w:val="20"/>
                <w:szCs w:val="18"/>
                <w:lang w:eastAsia="et-EE"/>
              </w:rPr>
              <w:t>5</w:t>
            </w:r>
            <w:r w:rsidRPr="007F25A1">
              <w:rPr>
                <w:rFonts w:eastAsia="Calibri" w:cs="Segoe UI Light"/>
                <w:sz w:val="20"/>
                <w:szCs w:val="18"/>
                <w:lang w:eastAsia="et-EE"/>
              </w:rPr>
              <w:t>.</w:t>
            </w:r>
          </w:p>
        </w:tc>
        <w:tc>
          <w:tcPr>
            <w:tcW w:w="4128" w:type="dxa"/>
          </w:tcPr>
          <w:p w14:paraId="734E6596" w14:textId="791C9F11"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Väikeõlletootjate 50% aktsiisimäär</w:t>
            </w:r>
          </w:p>
        </w:tc>
        <w:tc>
          <w:tcPr>
            <w:tcW w:w="1409" w:type="dxa"/>
          </w:tcPr>
          <w:p w14:paraId="219C16F1" w14:textId="771ECAFA"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ATKEAS §46 lg 1</w:t>
            </w:r>
          </w:p>
        </w:tc>
        <w:tc>
          <w:tcPr>
            <w:tcW w:w="1622" w:type="dxa"/>
          </w:tcPr>
          <w:p w14:paraId="7C28E14E" w14:textId="717E36F5"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vaba aeg, kultuur ja religioon</w:t>
            </w:r>
          </w:p>
        </w:tc>
        <w:tc>
          <w:tcPr>
            <w:tcW w:w="832" w:type="dxa"/>
          </w:tcPr>
          <w:p w14:paraId="475871A9" w14:textId="4165A242"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1,0</w:t>
            </w:r>
          </w:p>
        </w:tc>
        <w:tc>
          <w:tcPr>
            <w:tcW w:w="851" w:type="dxa"/>
          </w:tcPr>
          <w:p w14:paraId="50423001" w14:textId="730E9EDB"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0,9</w:t>
            </w:r>
          </w:p>
        </w:tc>
        <w:tc>
          <w:tcPr>
            <w:tcW w:w="850" w:type="dxa"/>
          </w:tcPr>
          <w:p w14:paraId="270D31D8" w14:textId="12F13272"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0,9</w:t>
            </w:r>
          </w:p>
        </w:tc>
      </w:tr>
      <w:tr w:rsidR="00687E27" w:rsidRPr="00CE40BB" w14:paraId="5D434EBB" w14:textId="77777777" w:rsidTr="00CE40BB">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56" w:type="dxa"/>
          </w:tcPr>
          <w:p w14:paraId="232B3E3B" w14:textId="45AAFE19" w:rsidR="00687E27" w:rsidRPr="007F25A1" w:rsidRDefault="00687E27" w:rsidP="007F25A1">
            <w:pPr>
              <w:spacing w:after="0"/>
              <w:rPr>
                <w:rFonts w:eastAsia="Calibri" w:cs="Segoe UI Light"/>
                <w:sz w:val="20"/>
                <w:szCs w:val="18"/>
                <w:lang w:eastAsia="et-EE"/>
              </w:rPr>
            </w:pPr>
            <w:r w:rsidRPr="007F25A1">
              <w:rPr>
                <w:rFonts w:eastAsia="Calibri" w:cs="Segoe UI Light"/>
                <w:sz w:val="20"/>
                <w:szCs w:val="18"/>
                <w:lang w:eastAsia="et-EE"/>
              </w:rPr>
              <w:t>1</w:t>
            </w:r>
            <w:r w:rsidR="007F25A1">
              <w:rPr>
                <w:rFonts w:eastAsia="Calibri" w:cs="Segoe UI Light"/>
                <w:sz w:val="20"/>
                <w:szCs w:val="18"/>
                <w:lang w:eastAsia="et-EE"/>
              </w:rPr>
              <w:t>6</w:t>
            </w:r>
            <w:r w:rsidRPr="007F25A1">
              <w:rPr>
                <w:rFonts w:eastAsia="Calibri" w:cs="Segoe UI Light"/>
                <w:sz w:val="20"/>
                <w:szCs w:val="18"/>
                <w:lang w:eastAsia="et-EE"/>
              </w:rPr>
              <w:t>.</w:t>
            </w:r>
          </w:p>
        </w:tc>
        <w:tc>
          <w:tcPr>
            <w:tcW w:w="4128" w:type="dxa"/>
          </w:tcPr>
          <w:p w14:paraId="4CFF2810" w14:textId="5A0F4FE7"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Eriotstarbelise diislikütuse ja kerge kütteõli soodsam aktsiisimäär</w:t>
            </w:r>
          </w:p>
        </w:tc>
        <w:tc>
          <w:tcPr>
            <w:tcW w:w="1409" w:type="dxa"/>
          </w:tcPr>
          <w:p w14:paraId="73B0C45A" w14:textId="56C490BE"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ATKEAS §66 lg 7</w:t>
            </w:r>
          </w:p>
        </w:tc>
        <w:tc>
          <w:tcPr>
            <w:tcW w:w="1622" w:type="dxa"/>
          </w:tcPr>
          <w:p w14:paraId="5F69A907" w14:textId="4DA2402F"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 xml:space="preserve"> sotsiaalne kaitse</w:t>
            </w:r>
          </w:p>
        </w:tc>
        <w:tc>
          <w:tcPr>
            <w:tcW w:w="832" w:type="dxa"/>
          </w:tcPr>
          <w:p w14:paraId="738666F4" w14:textId="4A28EEB2"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30,0</w:t>
            </w:r>
          </w:p>
        </w:tc>
        <w:tc>
          <w:tcPr>
            <w:tcW w:w="851" w:type="dxa"/>
          </w:tcPr>
          <w:p w14:paraId="0DE7B00F" w14:textId="1F59EDBF"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31,0</w:t>
            </w:r>
          </w:p>
        </w:tc>
        <w:tc>
          <w:tcPr>
            <w:tcW w:w="850" w:type="dxa"/>
          </w:tcPr>
          <w:p w14:paraId="062890AF" w14:textId="58026C03"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29,0</w:t>
            </w:r>
          </w:p>
        </w:tc>
      </w:tr>
      <w:tr w:rsidR="00687E27" w:rsidRPr="00CE40BB" w14:paraId="14DF73B2" w14:textId="77777777" w:rsidTr="00CE40BB">
        <w:trPr>
          <w:trHeight w:val="225"/>
        </w:trPr>
        <w:tc>
          <w:tcPr>
            <w:cnfStyle w:val="001000000000" w:firstRow="0" w:lastRow="0" w:firstColumn="1" w:lastColumn="0" w:oddVBand="0" w:evenVBand="0" w:oddHBand="0" w:evenHBand="0" w:firstRowFirstColumn="0" w:firstRowLastColumn="0" w:lastRowFirstColumn="0" w:lastRowLastColumn="0"/>
            <w:tcW w:w="656" w:type="dxa"/>
          </w:tcPr>
          <w:p w14:paraId="7A304EDF" w14:textId="58AE9F7E" w:rsidR="00687E27" w:rsidRPr="007F25A1" w:rsidRDefault="00687E27" w:rsidP="007F25A1">
            <w:pPr>
              <w:spacing w:after="0"/>
              <w:rPr>
                <w:rFonts w:eastAsia="Calibri" w:cs="Segoe UI Light"/>
                <w:sz w:val="20"/>
                <w:szCs w:val="18"/>
                <w:lang w:eastAsia="et-EE"/>
              </w:rPr>
            </w:pPr>
            <w:r w:rsidRPr="007F25A1">
              <w:rPr>
                <w:rFonts w:eastAsia="Calibri" w:cs="Segoe UI Light"/>
                <w:sz w:val="20"/>
                <w:szCs w:val="18"/>
                <w:lang w:eastAsia="et-EE"/>
              </w:rPr>
              <w:t>1</w:t>
            </w:r>
            <w:r w:rsidR="007F25A1">
              <w:rPr>
                <w:rFonts w:eastAsia="Calibri" w:cs="Segoe UI Light"/>
                <w:sz w:val="20"/>
                <w:szCs w:val="18"/>
                <w:lang w:eastAsia="et-EE"/>
              </w:rPr>
              <w:t>7</w:t>
            </w:r>
            <w:r w:rsidRPr="007F25A1">
              <w:rPr>
                <w:rFonts w:eastAsia="Calibri" w:cs="Segoe UI Light"/>
                <w:sz w:val="20"/>
                <w:szCs w:val="18"/>
                <w:lang w:eastAsia="et-EE"/>
              </w:rPr>
              <w:t>.</w:t>
            </w:r>
          </w:p>
        </w:tc>
        <w:tc>
          <w:tcPr>
            <w:tcW w:w="4128" w:type="dxa"/>
          </w:tcPr>
          <w:p w14:paraId="2A4EB347" w14:textId="18792D28"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Kalurite kütuseaktsiisivabastus</w:t>
            </w:r>
          </w:p>
        </w:tc>
        <w:tc>
          <w:tcPr>
            <w:tcW w:w="1409" w:type="dxa"/>
          </w:tcPr>
          <w:p w14:paraId="284084C9" w14:textId="21E67263"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ATKEAS §27 lg 1 p 22²</w:t>
            </w:r>
          </w:p>
        </w:tc>
        <w:tc>
          <w:tcPr>
            <w:tcW w:w="1622" w:type="dxa"/>
          </w:tcPr>
          <w:p w14:paraId="4E32CC44" w14:textId="584BEAB2"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majandus</w:t>
            </w:r>
          </w:p>
        </w:tc>
        <w:tc>
          <w:tcPr>
            <w:tcW w:w="832" w:type="dxa"/>
          </w:tcPr>
          <w:p w14:paraId="0DD31DDB" w14:textId="6FF68EB2"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1,0</w:t>
            </w:r>
          </w:p>
        </w:tc>
        <w:tc>
          <w:tcPr>
            <w:tcW w:w="851" w:type="dxa"/>
          </w:tcPr>
          <w:p w14:paraId="6EBF9723" w14:textId="60CD3A2C"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1,0</w:t>
            </w:r>
          </w:p>
        </w:tc>
        <w:tc>
          <w:tcPr>
            <w:tcW w:w="850" w:type="dxa"/>
          </w:tcPr>
          <w:p w14:paraId="772D032B" w14:textId="3C3D9F66"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1,0</w:t>
            </w:r>
          </w:p>
        </w:tc>
      </w:tr>
      <w:tr w:rsidR="00687E27" w:rsidRPr="00CE40BB" w14:paraId="0F1C17C3" w14:textId="77777777" w:rsidTr="00CE40B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56" w:type="dxa"/>
          </w:tcPr>
          <w:p w14:paraId="5B663CDE" w14:textId="5B078664" w:rsidR="00687E27" w:rsidRPr="007F25A1" w:rsidRDefault="00687E27" w:rsidP="007F25A1">
            <w:pPr>
              <w:spacing w:after="0"/>
              <w:rPr>
                <w:rFonts w:eastAsia="Calibri" w:cs="Segoe UI Light"/>
                <w:sz w:val="20"/>
                <w:szCs w:val="18"/>
                <w:lang w:eastAsia="et-EE"/>
              </w:rPr>
            </w:pPr>
            <w:r w:rsidRPr="007F25A1">
              <w:rPr>
                <w:rFonts w:eastAsia="Calibri" w:cs="Segoe UI Light"/>
                <w:sz w:val="20"/>
                <w:szCs w:val="18"/>
                <w:lang w:eastAsia="et-EE"/>
              </w:rPr>
              <w:t>1</w:t>
            </w:r>
            <w:r w:rsidR="007F25A1">
              <w:rPr>
                <w:rFonts w:eastAsia="Calibri" w:cs="Segoe UI Light"/>
                <w:sz w:val="20"/>
                <w:szCs w:val="18"/>
                <w:lang w:eastAsia="et-EE"/>
              </w:rPr>
              <w:t>8</w:t>
            </w:r>
            <w:r w:rsidRPr="007F25A1">
              <w:rPr>
                <w:rFonts w:eastAsia="Calibri" w:cs="Segoe UI Light"/>
                <w:sz w:val="20"/>
                <w:szCs w:val="18"/>
                <w:lang w:eastAsia="et-EE"/>
              </w:rPr>
              <w:t>.</w:t>
            </w:r>
          </w:p>
        </w:tc>
        <w:tc>
          <w:tcPr>
            <w:tcW w:w="4128" w:type="dxa"/>
          </w:tcPr>
          <w:p w14:paraId="7C39FC3E" w14:textId="4E601025"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 xml:space="preserve">Elektrienergia, mida kasutatakse keemilise reduktsiooni jaoks ning elektrolüütilistes, </w:t>
            </w:r>
            <w:proofErr w:type="spellStart"/>
            <w:r w:rsidRPr="007F25A1">
              <w:rPr>
                <w:rFonts w:eastAsia="Calibri" w:cs="Segoe UI Light"/>
                <w:bCs/>
                <w:sz w:val="20"/>
                <w:szCs w:val="18"/>
                <w:lang w:eastAsia="et-EE"/>
              </w:rPr>
              <w:t>metallurgilistes</w:t>
            </w:r>
            <w:proofErr w:type="spellEnd"/>
            <w:r w:rsidRPr="007F25A1">
              <w:rPr>
                <w:rFonts w:eastAsia="Calibri" w:cs="Segoe UI Light"/>
                <w:bCs/>
                <w:sz w:val="20"/>
                <w:szCs w:val="18"/>
                <w:lang w:eastAsia="et-EE"/>
              </w:rPr>
              <w:t xml:space="preserve"> ja mineraloogilistes protsessides</w:t>
            </w:r>
          </w:p>
        </w:tc>
        <w:tc>
          <w:tcPr>
            <w:tcW w:w="1409" w:type="dxa"/>
          </w:tcPr>
          <w:p w14:paraId="578ED06E" w14:textId="0F8B2DA5"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ATKEAS §27 lg 1 p24, 284</w:t>
            </w:r>
          </w:p>
        </w:tc>
        <w:tc>
          <w:tcPr>
            <w:tcW w:w="1622" w:type="dxa"/>
          </w:tcPr>
          <w:p w14:paraId="1CDEFA2F" w14:textId="0D1DCBA6"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 xml:space="preserve"> sotsiaalne kaitse</w:t>
            </w:r>
          </w:p>
        </w:tc>
        <w:tc>
          <w:tcPr>
            <w:tcW w:w="832" w:type="dxa"/>
          </w:tcPr>
          <w:p w14:paraId="313097F8" w14:textId="2318D7BC"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0,1</w:t>
            </w:r>
          </w:p>
        </w:tc>
        <w:tc>
          <w:tcPr>
            <w:tcW w:w="851" w:type="dxa"/>
          </w:tcPr>
          <w:p w14:paraId="3690F6AC" w14:textId="0B190C4F"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0,1</w:t>
            </w:r>
          </w:p>
        </w:tc>
        <w:tc>
          <w:tcPr>
            <w:tcW w:w="850" w:type="dxa"/>
          </w:tcPr>
          <w:p w14:paraId="3042D618" w14:textId="5AF9F157"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0,1</w:t>
            </w:r>
          </w:p>
        </w:tc>
      </w:tr>
      <w:tr w:rsidR="00687E27" w:rsidRPr="00CE40BB" w14:paraId="6EC404CA" w14:textId="77777777" w:rsidTr="00CE40BB">
        <w:trPr>
          <w:trHeight w:val="440"/>
        </w:trPr>
        <w:tc>
          <w:tcPr>
            <w:cnfStyle w:val="001000000000" w:firstRow="0" w:lastRow="0" w:firstColumn="1" w:lastColumn="0" w:oddVBand="0" w:evenVBand="0" w:oddHBand="0" w:evenHBand="0" w:firstRowFirstColumn="0" w:firstRowLastColumn="0" w:lastRowFirstColumn="0" w:lastRowLastColumn="0"/>
            <w:tcW w:w="656" w:type="dxa"/>
          </w:tcPr>
          <w:p w14:paraId="43C83A6E" w14:textId="1B5942CA" w:rsidR="00687E27" w:rsidRPr="007F25A1" w:rsidRDefault="00687E27" w:rsidP="007F25A1">
            <w:pPr>
              <w:spacing w:after="0"/>
              <w:rPr>
                <w:rFonts w:eastAsia="Calibri" w:cs="Segoe UI Light"/>
                <w:sz w:val="20"/>
                <w:szCs w:val="18"/>
                <w:lang w:eastAsia="et-EE"/>
              </w:rPr>
            </w:pPr>
            <w:r w:rsidRPr="007F25A1">
              <w:rPr>
                <w:rFonts w:eastAsia="Calibri" w:cs="Segoe UI Light"/>
                <w:sz w:val="20"/>
                <w:szCs w:val="18"/>
                <w:lang w:eastAsia="et-EE"/>
              </w:rPr>
              <w:t>1</w:t>
            </w:r>
            <w:r w:rsidR="007F25A1">
              <w:rPr>
                <w:rFonts w:eastAsia="Calibri" w:cs="Segoe UI Light"/>
                <w:sz w:val="20"/>
                <w:szCs w:val="18"/>
                <w:lang w:eastAsia="et-EE"/>
              </w:rPr>
              <w:t>9</w:t>
            </w:r>
            <w:r w:rsidRPr="007F25A1">
              <w:rPr>
                <w:rFonts w:eastAsia="Calibri" w:cs="Segoe UI Light"/>
                <w:sz w:val="20"/>
                <w:szCs w:val="18"/>
                <w:lang w:eastAsia="et-EE"/>
              </w:rPr>
              <w:t>.</w:t>
            </w:r>
          </w:p>
        </w:tc>
        <w:tc>
          <w:tcPr>
            <w:tcW w:w="4128" w:type="dxa"/>
          </w:tcPr>
          <w:p w14:paraId="73765657" w14:textId="4F282ED3"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 xml:space="preserve">Elektrienergia ja kütus, mida kasutatakse </w:t>
            </w:r>
            <w:proofErr w:type="spellStart"/>
            <w:r w:rsidRPr="007F25A1">
              <w:rPr>
                <w:rFonts w:eastAsia="Calibri" w:cs="Segoe UI Light"/>
                <w:bCs/>
                <w:sz w:val="20"/>
                <w:szCs w:val="18"/>
                <w:lang w:eastAsia="et-EE"/>
              </w:rPr>
              <w:t>elektri¬energia</w:t>
            </w:r>
            <w:proofErr w:type="spellEnd"/>
            <w:r w:rsidRPr="007F25A1">
              <w:rPr>
                <w:rFonts w:eastAsia="Calibri" w:cs="Segoe UI Light"/>
                <w:bCs/>
                <w:sz w:val="20"/>
                <w:szCs w:val="18"/>
                <w:lang w:eastAsia="et-EE"/>
              </w:rPr>
              <w:t xml:space="preserve"> tootmiseks ning elektrienergia, mida </w:t>
            </w:r>
            <w:proofErr w:type="spellStart"/>
            <w:r w:rsidRPr="007F25A1">
              <w:rPr>
                <w:rFonts w:eastAsia="Calibri" w:cs="Segoe UI Light"/>
                <w:bCs/>
                <w:sz w:val="20"/>
                <w:szCs w:val="18"/>
                <w:lang w:eastAsia="et-EE"/>
              </w:rPr>
              <w:t>kasuta¬takse</w:t>
            </w:r>
            <w:proofErr w:type="spellEnd"/>
            <w:r w:rsidRPr="007F25A1">
              <w:rPr>
                <w:rFonts w:eastAsia="Calibri" w:cs="Segoe UI Light"/>
                <w:bCs/>
                <w:sz w:val="20"/>
                <w:szCs w:val="18"/>
                <w:lang w:eastAsia="et-EE"/>
              </w:rPr>
              <w:t xml:space="preserve"> elektrienergia tootmise suutlikkuse säilitamiseks</w:t>
            </w:r>
          </w:p>
        </w:tc>
        <w:tc>
          <w:tcPr>
            <w:tcW w:w="1409" w:type="dxa"/>
          </w:tcPr>
          <w:p w14:paraId="1DDB3348" w14:textId="35A7F44F"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ATKEAS §27 lg 1 p282</w:t>
            </w:r>
          </w:p>
        </w:tc>
        <w:tc>
          <w:tcPr>
            <w:tcW w:w="1622" w:type="dxa"/>
          </w:tcPr>
          <w:p w14:paraId="7D4B0561" w14:textId="494D4307"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majandus</w:t>
            </w:r>
          </w:p>
        </w:tc>
        <w:tc>
          <w:tcPr>
            <w:tcW w:w="832" w:type="dxa"/>
          </w:tcPr>
          <w:p w14:paraId="421A4B3B" w14:textId="41AC6AC0"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1,1</w:t>
            </w:r>
          </w:p>
        </w:tc>
        <w:tc>
          <w:tcPr>
            <w:tcW w:w="851" w:type="dxa"/>
          </w:tcPr>
          <w:p w14:paraId="1A8A30C0" w14:textId="0E8820EB"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1,1</w:t>
            </w:r>
          </w:p>
        </w:tc>
        <w:tc>
          <w:tcPr>
            <w:tcW w:w="850" w:type="dxa"/>
          </w:tcPr>
          <w:p w14:paraId="05C4ECFB" w14:textId="176390B2"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1,3</w:t>
            </w:r>
          </w:p>
        </w:tc>
      </w:tr>
      <w:tr w:rsidR="00687E27" w:rsidRPr="00CE40BB" w14:paraId="5B068B9E" w14:textId="77777777" w:rsidTr="00CE40B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56" w:type="dxa"/>
          </w:tcPr>
          <w:p w14:paraId="70F8AEA5" w14:textId="546D00E7" w:rsidR="00687E27" w:rsidRPr="007F25A1" w:rsidRDefault="007F25A1" w:rsidP="007F25A1">
            <w:pPr>
              <w:spacing w:after="0"/>
              <w:rPr>
                <w:rFonts w:eastAsia="Calibri" w:cs="Segoe UI Light"/>
                <w:sz w:val="20"/>
                <w:szCs w:val="18"/>
                <w:lang w:eastAsia="et-EE"/>
              </w:rPr>
            </w:pPr>
            <w:r>
              <w:rPr>
                <w:rFonts w:eastAsia="Calibri" w:cs="Segoe UI Light"/>
                <w:sz w:val="20"/>
                <w:szCs w:val="18"/>
                <w:lang w:eastAsia="et-EE"/>
              </w:rPr>
              <w:t>20</w:t>
            </w:r>
            <w:r w:rsidR="00687E27" w:rsidRPr="007F25A1">
              <w:rPr>
                <w:rFonts w:eastAsia="Calibri" w:cs="Segoe UI Light"/>
                <w:sz w:val="20"/>
                <w:szCs w:val="18"/>
                <w:lang w:eastAsia="et-EE"/>
              </w:rPr>
              <w:t>.</w:t>
            </w:r>
          </w:p>
        </w:tc>
        <w:tc>
          <w:tcPr>
            <w:tcW w:w="4128" w:type="dxa"/>
          </w:tcPr>
          <w:p w14:paraId="0F50D420" w14:textId="16669384"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 xml:space="preserve">Kütus, mida kasutatakse mineraloogilistes protsessides </w:t>
            </w:r>
          </w:p>
        </w:tc>
        <w:tc>
          <w:tcPr>
            <w:tcW w:w="1409" w:type="dxa"/>
          </w:tcPr>
          <w:p w14:paraId="2AE67D8F" w14:textId="46B52233"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ATKEAS §27 lg 1 p24</w:t>
            </w:r>
          </w:p>
        </w:tc>
        <w:tc>
          <w:tcPr>
            <w:tcW w:w="1622" w:type="dxa"/>
          </w:tcPr>
          <w:p w14:paraId="676B97AF" w14:textId="1B4FC044"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majandus</w:t>
            </w:r>
          </w:p>
        </w:tc>
        <w:tc>
          <w:tcPr>
            <w:tcW w:w="832" w:type="dxa"/>
          </w:tcPr>
          <w:p w14:paraId="25A71261" w14:textId="61B2AE6A"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1,3</w:t>
            </w:r>
          </w:p>
        </w:tc>
        <w:tc>
          <w:tcPr>
            <w:tcW w:w="851" w:type="dxa"/>
          </w:tcPr>
          <w:p w14:paraId="4F5C4D1A" w14:textId="1EDA09BA"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1,2</w:t>
            </w:r>
          </w:p>
        </w:tc>
        <w:tc>
          <w:tcPr>
            <w:tcW w:w="850" w:type="dxa"/>
          </w:tcPr>
          <w:p w14:paraId="1578EC1B" w14:textId="2DB3E9A8"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1,4</w:t>
            </w:r>
          </w:p>
        </w:tc>
      </w:tr>
      <w:tr w:rsidR="00687E27" w:rsidRPr="00CE40BB" w14:paraId="125D12A2" w14:textId="77777777" w:rsidTr="00CE40BB">
        <w:trPr>
          <w:trHeight w:val="440"/>
        </w:trPr>
        <w:tc>
          <w:tcPr>
            <w:cnfStyle w:val="001000000000" w:firstRow="0" w:lastRow="0" w:firstColumn="1" w:lastColumn="0" w:oddVBand="0" w:evenVBand="0" w:oddHBand="0" w:evenHBand="0" w:firstRowFirstColumn="0" w:firstRowLastColumn="0" w:lastRowFirstColumn="0" w:lastRowLastColumn="0"/>
            <w:tcW w:w="656" w:type="dxa"/>
          </w:tcPr>
          <w:p w14:paraId="25271500" w14:textId="4ABDF29A" w:rsidR="00687E27" w:rsidRPr="007F25A1" w:rsidRDefault="00687E27" w:rsidP="007F25A1">
            <w:pPr>
              <w:spacing w:after="0"/>
              <w:rPr>
                <w:rFonts w:eastAsia="Calibri" w:cs="Segoe UI Light"/>
                <w:sz w:val="20"/>
                <w:szCs w:val="18"/>
                <w:lang w:eastAsia="et-EE"/>
              </w:rPr>
            </w:pPr>
            <w:r w:rsidRPr="007F25A1">
              <w:rPr>
                <w:rFonts w:eastAsia="Calibri" w:cs="Segoe UI Light"/>
                <w:sz w:val="20"/>
                <w:szCs w:val="18"/>
                <w:lang w:eastAsia="et-EE"/>
              </w:rPr>
              <w:t>2</w:t>
            </w:r>
            <w:r w:rsidR="007F25A1">
              <w:rPr>
                <w:rFonts w:eastAsia="Calibri" w:cs="Segoe UI Light"/>
                <w:sz w:val="20"/>
                <w:szCs w:val="18"/>
                <w:lang w:eastAsia="et-EE"/>
              </w:rPr>
              <w:t>1</w:t>
            </w:r>
            <w:r w:rsidRPr="007F25A1">
              <w:rPr>
                <w:rFonts w:eastAsia="Calibri" w:cs="Segoe UI Light"/>
                <w:sz w:val="20"/>
                <w:szCs w:val="18"/>
                <w:lang w:eastAsia="et-EE"/>
              </w:rPr>
              <w:t>.</w:t>
            </w:r>
          </w:p>
        </w:tc>
        <w:tc>
          <w:tcPr>
            <w:tcW w:w="4128" w:type="dxa"/>
          </w:tcPr>
          <w:p w14:paraId="675D6A5A" w14:textId="6F1256E9"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Maagaas, mida kasutatakse maagaasivõrgu töös hoidmiseks</w:t>
            </w:r>
          </w:p>
        </w:tc>
        <w:tc>
          <w:tcPr>
            <w:tcW w:w="1409" w:type="dxa"/>
          </w:tcPr>
          <w:p w14:paraId="05C5F83C" w14:textId="7CCE1145"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ATKEAS §27 lg 1 P 286</w:t>
            </w:r>
          </w:p>
        </w:tc>
        <w:tc>
          <w:tcPr>
            <w:tcW w:w="1622" w:type="dxa"/>
          </w:tcPr>
          <w:p w14:paraId="16D0BABD" w14:textId="3A6F2A65"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majandus</w:t>
            </w:r>
          </w:p>
        </w:tc>
        <w:tc>
          <w:tcPr>
            <w:tcW w:w="832" w:type="dxa"/>
          </w:tcPr>
          <w:p w14:paraId="6098AD30" w14:textId="6A1797A3"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0,0</w:t>
            </w:r>
          </w:p>
        </w:tc>
        <w:tc>
          <w:tcPr>
            <w:tcW w:w="851" w:type="dxa"/>
          </w:tcPr>
          <w:p w14:paraId="5309A381" w14:textId="26213E9A"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0,0</w:t>
            </w:r>
          </w:p>
        </w:tc>
        <w:tc>
          <w:tcPr>
            <w:tcW w:w="850" w:type="dxa"/>
          </w:tcPr>
          <w:p w14:paraId="5C39040B" w14:textId="646B737C"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0,0</w:t>
            </w:r>
          </w:p>
        </w:tc>
      </w:tr>
      <w:tr w:rsidR="00687E27" w:rsidRPr="00CE40BB" w14:paraId="3DF9D75B" w14:textId="77777777" w:rsidTr="00CE40BB">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56" w:type="dxa"/>
          </w:tcPr>
          <w:p w14:paraId="17A09544" w14:textId="487A65EE" w:rsidR="00687E27" w:rsidRPr="007F25A1" w:rsidRDefault="00687E27" w:rsidP="007F25A1">
            <w:pPr>
              <w:spacing w:after="0"/>
              <w:rPr>
                <w:rFonts w:eastAsia="Calibri" w:cs="Segoe UI Light"/>
                <w:sz w:val="20"/>
                <w:szCs w:val="18"/>
                <w:lang w:eastAsia="et-EE"/>
              </w:rPr>
            </w:pPr>
            <w:r w:rsidRPr="007F25A1">
              <w:rPr>
                <w:rFonts w:eastAsia="Calibri" w:cs="Segoe UI Light"/>
                <w:sz w:val="20"/>
                <w:szCs w:val="18"/>
                <w:lang w:eastAsia="et-EE"/>
              </w:rPr>
              <w:t>2</w:t>
            </w:r>
            <w:r w:rsidR="007F25A1">
              <w:rPr>
                <w:rFonts w:eastAsia="Calibri" w:cs="Segoe UI Light"/>
                <w:sz w:val="20"/>
                <w:szCs w:val="18"/>
                <w:lang w:eastAsia="et-EE"/>
              </w:rPr>
              <w:t>2</w:t>
            </w:r>
            <w:r w:rsidRPr="007F25A1">
              <w:rPr>
                <w:rFonts w:eastAsia="Calibri" w:cs="Segoe UI Light"/>
                <w:sz w:val="20"/>
                <w:szCs w:val="18"/>
                <w:lang w:eastAsia="et-EE"/>
              </w:rPr>
              <w:t>.</w:t>
            </w:r>
          </w:p>
        </w:tc>
        <w:tc>
          <w:tcPr>
            <w:tcW w:w="4128" w:type="dxa"/>
          </w:tcPr>
          <w:p w14:paraId="068AFEF7" w14:textId="64EF59B9"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Suurtarbijate elektrienergia aktsiisi soodustus</w:t>
            </w:r>
          </w:p>
        </w:tc>
        <w:tc>
          <w:tcPr>
            <w:tcW w:w="1409" w:type="dxa"/>
          </w:tcPr>
          <w:p w14:paraId="1D63F21F" w14:textId="5D45233E"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ATKEAS §66 lg 121</w:t>
            </w:r>
          </w:p>
        </w:tc>
        <w:tc>
          <w:tcPr>
            <w:tcW w:w="1622" w:type="dxa"/>
          </w:tcPr>
          <w:p w14:paraId="1E4C3F11" w14:textId="1F246A62"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majandus</w:t>
            </w:r>
          </w:p>
        </w:tc>
        <w:tc>
          <w:tcPr>
            <w:tcW w:w="832" w:type="dxa"/>
          </w:tcPr>
          <w:p w14:paraId="6E1C44AB" w14:textId="093A3836"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0,3</w:t>
            </w:r>
          </w:p>
        </w:tc>
        <w:tc>
          <w:tcPr>
            <w:tcW w:w="851" w:type="dxa"/>
          </w:tcPr>
          <w:p w14:paraId="27FC4E6E" w14:textId="198B3321"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0,3</w:t>
            </w:r>
          </w:p>
        </w:tc>
        <w:tc>
          <w:tcPr>
            <w:tcW w:w="850" w:type="dxa"/>
          </w:tcPr>
          <w:p w14:paraId="4D8337A0" w14:textId="0C3545B8"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0,4</w:t>
            </w:r>
          </w:p>
        </w:tc>
      </w:tr>
      <w:tr w:rsidR="00687E27" w:rsidRPr="00CE40BB" w14:paraId="67A8080E" w14:textId="77777777" w:rsidTr="00CE40BB">
        <w:trPr>
          <w:trHeight w:val="430"/>
        </w:trPr>
        <w:tc>
          <w:tcPr>
            <w:cnfStyle w:val="001000000000" w:firstRow="0" w:lastRow="0" w:firstColumn="1" w:lastColumn="0" w:oddVBand="0" w:evenVBand="0" w:oddHBand="0" w:evenHBand="0" w:firstRowFirstColumn="0" w:firstRowLastColumn="0" w:lastRowFirstColumn="0" w:lastRowLastColumn="0"/>
            <w:tcW w:w="656" w:type="dxa"/>
          </w:tcPr>
          <w:p w14:paraId="34C79CEB" w14:textId="4CD2B579" w:rsidR="00687E27" w:rsidRPr="007F25A1" w:rsidRDefault="00687E27" w:rsidP="007F25A1">
            <w:pPr>
              <w:spacing w:after="0"/>
              <w:rPr>
                <w:rFonts w:eastAsia="Calibri" w:cs="Segoe UI Light"/>
                <w:sz w:val="20"/>
                <w:szCs w:val="18"/>
                <w:lang w:eastAsia="et-EE"/>
              </w:rPr>
            </w:pPr>
            <w:r w:rsidRPr="007F25A1">
              <w:rPr>
                <w:rFonts w:eastAsia="Calibri" w:cs="Segoe UI Light"/>
                <w:sz w:val="20"/>
                <w:szCs w:val="18"/>
                <w:lang w:eastAsia="et-EE"/>
              </w:rPr>
              <w:t>2</w:t>
            </w:r>
            <w:r w:rsidR="007F25A1">
              <w:rPr>
                <w:rFonts w:eastAsia="Calibri" w:cs="Segoe UI Light"/>
                <w:sz w:val="20"/>
                <w:szCs w:val="18"/>
                <w:lang w:eastAsia="et-EE"/>
              </w:rPr>
              <w:t>3</w:t>
            </w:r>
            <w:r w:rsidRPr="007F25A1">
              <w:rPr>
                <w:rFonts w:eastAsia="Calibri" w:cs="Segoe UI Light"/>
                <w:sz w:val="20"/>
                <w:szCs w:val="18"/>
                <w:lang w:eastAsia="et-EE"/>
              </w:rPr>
              <w:t>.</w:t>
            </w:r>
          </w:p>
        </w:tc>
        <w:tc>
          <w:tcPr>
            <w:tcW w:w="4128" w:type="dxa"/>
          </w:tcPr>
          <w:p w14:paraId="68DBBB8F" w14:textId="7034E5F2"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Suurtarbijate gaasiaktsiisi soodustus</w:t>
            </w:r>
          </w:p>
        </w:tc>
        <w:tc>
          <w:tcPr>
            <w:tcW w:w="1409" w:type="dxa"/>
          </w:tcPr>
          <w:p w14:paraId="50B75522" w14:textId="49BC9EDB"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ATKEAS §66 lg 103</w:t>
            </w:r>
          </w:p>
        </w:tc>
        <w:tc>
          <w:tcPr>
            <w:tcW w:w="1622" w:type="dxa"/>
          </w:tcPr>
          <w:p w14:paraId="2449E0AE" w14:textId="48EA7234" w:rsidR="00687E27" w:rsidRPr="007F25A1" w:rsidRDefault="00687E27" w:rsidP="00687E27">
            <w:pPr>
              <w:spacing w:after="0"/>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majandus</w:t>
            </w:r>
          </w:p>
        </w:tc>
        <w:tc>
          <w:tcPr>
            <w:tcW w:w="832" w:type="dxa"/>
          </w:tcPr>
          <w:p w14:paraId="413D3932" w14:textId="72C05751"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0,9</w:t>
            </w:r>
          </w:p>
        </w:tc>
        <w:tc>
          <w:tcPr>
            <w:tcW w:w="851" w:type="dxa"/>
          </w:tcPr>
          <w:p w14:paraId="27C55B53" w14:textId="57E2B676"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0,9</w:t>
            </w:r>
          </w:p>
        </w:tc>
        <w:tc>
          <w:tcPr>
            <w:tcW w:w="850" w:type="dxa"/>
          </w:tcPr>
          <w:p w14:paraId="64C7FFAA" w14:textId="2F7EA668" w:rsidR="00687E27" w:rsidRPr="007F25A1" w:rsidRDefault="00687E27" w:rsidP="004C5163">
            <w:pPr>
              <w:spacing w:after="0"/>
              <w:jc w:val="right"/>
              <w:cnfStyle w:val="000000000000" w:firstRow="0" w:lastRow="0" w:firstColumn="0" w:lastColumn="0" w:oddVBand="0" w:evenVBand="0" w:oddHBand="0"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1,1</w:t>
            </w:r>
          </w:p>
        </w:tc>
      </w:tr>
      <w:tr w:rsidR="00687E27" w:rsidRPr="00AB2C28" w14:paraId="03829902" w14:textId="77777777" w:rsidTr="00CE40BB">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56" w:type="dxa"/>
          </w:tcPr>
          <w:p w14:paraId="351DFD6D" w14:textId="7E46472B" w:rsidR="00687E27" w:rsidRPr="007F25A1" w:rsidRDefault="00687E27" w:rsidP="007F25A1">
            <w:pPr>
              <w:spacing w:after="0"/>
              <w:rPr>
                <w:rFonts w:eastAsia="Calibri" w:cs="Segoe UI Light"/>
                <w:sz w:val="20"/>
                <w:szCs w:val="18"/>
                <w:lang w:eastAsia="et-EE"/>
              </w:rPr>
            </w:pPr>
            <w:r w:rsidRPr="007F25A1">
              <w:rPr>
                <w:rFonts w:eastAsia="Calibri" w:cs="Segoe UI Light"/>
                <w:sz w:val="20"/>
                <w:szCs w:val="18"/>
                <w:lang w:eastAsia="et-EE"/>
              </w:rPr>
              <w:t>2</w:t>
            </w:r>
            <w:r w:rsidR="007F25A1">
              <w:rPr>
                <w:rFonts w:eastAsia="Calibri" w:cs="Segoe UI Light"/>
                <w:sz w:val="20"/>
                <w:szCs w:val="18"/>
                <w:lang w:eastAsia="et-EE"/>
              </w:rPr>
              <w:t>4</w:t>
            </w:r>
            <w:r w:rsidRPr="007F25A1">
              <w:rPr>
                <w:rFonts w:eastAsia="Calibri" w:cs="Segoe UI Light"/>
                <w:sz w:val="20"/>
                <w:szCs w:val="18"/>
                <w:lang w:eastAsia="et-EE"/>
              </w:rPr>
              <w:t>.</w:t>
            </w:r>
          </w:p>
        </w:tc>
        <w:tc>
          <w:tcPr>
            <w:tcW w:w="4128" w:type="dxa"/>
          </w:tcPr>
          <w:p w14:paraId="5A901630" w14:textId="010FC84C"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Aktsiisiga maksustamata biokütuse edastatud kogus</w:t>
            </w:r>
          </w:p>
        </w:tc>
        <w:tc>
          <w:tcPr>
            <w:tcW w:w="1409" w:type="dxa"/>
          </w:tcPr>
          <w:p w14:paraId="64B021BD" w14:textId="0F734EA9"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ATKEAS   §19 lg 14 p22</w:t>
            </w:r>
          </w:p>
        </w:tc>
        <w:tc>
          <w:tcPr>
            <w:tcW w:w="1622" w:type="dxa"/>
          </w:tcPr>
          <w:p w14:paraId="540B4034" w14:textId="0FECB51A" w:rsidR="00687E27" w:rsidRPr="007F25A1" w:rsidRDefault="00687E27" w:rsidP="00687E27">
            <w:pPr>
              <w:spacing w:after="0"/>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majandus</w:t>
            </w:r>
          </w:p>
        </w:tc>
        <w:tc>
          <w:tcPr>
            <w:tcW w:w="832" w:type="dxa"/>
          </w:tcPr>
          <w:p w14:paraId="4EAADDFC" w14:textId="28C2BFF2"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0,5</w:t>
            </w:r>
          </w:p>
        </w:tc>
        <w:tc>
          <w:tcPr>
            <w:tcW w:w="851" w:type="dxa"/>
          </w:tcPr>
          <w:p w14:paraId="0C12F740" w14:textId="524A6A6C"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0,5</w:t>
            </w:r>
          </w:p>
        </w:tc>
        <w:tc>
          <w:tcPr>
            <w:tcW w:w="850" w:type="dxa"/>
          </w:tcPr>
          <w:p w14:paraId="4EA3F88A" w14:textId="0BE1A454" w:rsidR="00687E27" w:rsidRPr="007F25A1" w:rsidRDefault="00687E27" w:rsidP="004C5163">
            <w:pPr>
              <w:spacing w:after="0"/>
              <w:jc w:val="right"/>
              <w:cnfStyle w:val="000000100000" w:firstRow="0" w:lastRow="0" w:firstColumn="0" w:lastColumn="0" w:oddVBand="0" w:evenVBand="0" w:oddHBand="1" w:evenHBand="0" w:firstRowFirstColumn="0" w:firstRowLastColumn="0" w:lastRowFirstColumn="0" w:lastRowLastColumn="0"/>
              <w:rPr>
                <w:rFonts w:eastAsia="Calibri" w:cs="Segoe UI Light"/>
                <w:bCs/>
                <w:sz w:val="20"/>
                <w:szCs w:val="18"/>
                <w:lang w:eastAsia="et-EE"/>
              </w:rPr>
            </w:pPr>
            <w:r w:rsidRPr="007F25A1">
              <w:rPr>
                <w:rFonts w:eastAsia="Calibri" w:cs="Segoe UI Light"/>
                <w:bCs/>
                <w:sz w:val="20"/>
                <w:szCs w:val="18"/>
                <w:lang w:eastAsia="et-EE"/>
              </w:rPr>
              <w:t>0,6</w:t>
            </w:r>
          </w:p>
        </w:tc>
      </w:tr>
    </w:tbl>
    <w:p w14:paraId="04E8065F" w14:textId="77777777" w:rsidR="00831AD9" w:rsidRPr="005822EA" w:rsidRDefault="00831AD9" w:rsidP="00831AD9">
      <w:pPr>
        <w:pStyle w:val="Phitekst"/>
        <w:rPr>
          <w:rStyle w:val="MrkusChar"/>
        </w:rPr>
      </w:pPr>
      <w:r w:rsidRPr="005822EA">
        <w:rPr>
          <w:rStyle w:val="MrkusChar"/>
        </w:rPr>
        <w:br w:type="page"/>
      </w:r>
    </w:p>
    <w:p w14:paraId="544929E6" w14:textId="77777777" w:rsidR="00831AD9" w:rsidRPr="005822EA" w:rsidRDefault="00831AD9" w:rsidP="00831AD9">
      <w:pPr>
        <w:pStyle w:val="Phitekst"/>
        <w:rPr>
          <w:rStyle w:val="MrkusChar"/>
          <w:highlight w:val="yellow"/>
        </w:rPr>
      </w:pPr>
    </w:p>
    <w:p w14:paraId="3E038DD6" w14:textId="1713B75A" w:rsidR="007F25A1" w:rsidRPr="007F25A1" w:rsidRDefault="00B80522" w:rsidP="007F25A1">
      <w:pPr>
        <w:pStyle w:val="Pealdis"/>
        <w:rPr>
          <w:color w:val="auto"/>
        </w:rPr>
      </w:pPr>
      <w:bookmarkStart w:id="208" w:name="_Ref100182071"/>
      <w:bookmarkStart w:id="209" w:name="_Ref99984675"/>
      <w:bookmarkStart w:id="210" w:name="_Ref511379493"/>
      <w:bookmarkStart w:id="211" w:name="_Toc511317453"/>
      <w:bookmarkStart w:id="212" w:name="_Toc100230301"/>
      <w:r>
        <w:t xml:space="preserve">Tabel </w:t>
      </w:r>
      <w:fldSimple w:instr=" SEQ Tabel \* ARABIC ">
        <w:r w:rsidR="000C04EE">
          <w:rPr>
            <w:noProof/>
          </w:rPr>
          <w:t>16</w:t>
        </w:r>
      </w:fldSimple>
      <w:bookmarkEnd w:id="208"/>
      <w:r>
        <w:t>.</w:t>
      </w:r>
      <w:r w:rsidR="00716C16">
        <w:t xml:space="preserve"> </w:t>
      </w:r>
      <w:r w:rsidR="00F4704F" w:rsidRPr="00766396">
        <w:t>Valitsussektori võlakoormuse muutus 202</w:t>
      </w:r>
      <w:r w:rsidR="00041CB3" w:rsidRPr="00766396">
        <w:t>1</w:t>
      </w:r>
      <w:r w:rsidR="00F4704F" w:rsidRPr="00766396">
        <w:t>. aastal</w:t>
      </w:r>
      <w:bookmarkEnd w:id="209"/>
      <w:bookmarkEnd w:id="212"/>
      <w:r w:rsidR="00634914" w:rsidRPr="00634914">
        <w:rPr>
          <w:rStyle w:val="MrkusChar"/>
          <w:color w:val="auto"/>
        </w:rPr>
        <w:fldChar w:fldCharType="begin"/>
      </w:r>
      <w:r w:rsidR="00634914" w:rsidRPr="00634914">
        <w:rPr>
          <w:rStyle w:val="MrkusChar"/>
          <w:color w:val="auto"/>
        </w:rPr>
        <w:instrText xml:space="preserve"> LINK </w:instrText>
      </w:r>
      <w:r w:rsidR="003C7472">
        <w:rPr>
          <w:rStyle w:val="MrkusChar"/>
          <w:color w:val="auto"/>
        </w:rPr>
        <w:instrText xml:space="preserve">Excel.Sheet.12 "\\\\riik.sise\\yld\\ram$\\FPO\\14. PROGNOOSID\\2022 kevad\\Seletuskiri\\Tabelid ja joonised Kevad 2022_rahandus.xlsx" Tabelid!R345C2:R358C7 </w:instrText>
      </w:r>
      <w:r w:rsidR="00634914" w:rsidRPr="00634914">
        <w:rPr>
          <w:rStyle w:val="MrkusChar"/>
          <w:color w:val="auto"/>
        </w:rPr>
        <w:instrText xml:space="preserve">\a \f 5 \h  \* MERGEFORMAT </w:instrText>
      </w:r>
      <w:r w:rsidR="00634914" w:rsidRPr="00634914">
        <w:rPr>
          <w:rStyle w:val="MrkusChar"/>
          <w:color w:val="auto"/>
        </w:rPr>
        <w:fldChar w:fldCharType="separate"/>
      </w:r>
    </w:p>
    <w:tbl>
      <w:tblPr>
        <w:tblStyle w:val="Peentabel1"/>
        <w:tblW w:w="9720" w:type="dxa"/>
        <w:tblLook w:val="04A0" w:firstRow="1" w:lastRow="0" w:firstColumn="1" w:lastColumn="0" w:noHBand="0" w:noVBand="1"/>
      </w:tblPr>
      <w:tblGrid>
        <w:gridCol w:w="2374"/>
        <w:gridCol w:w="1455"/>
        <w:gridCol w:w="1480"/>
        <w:gridCol w:w="1471"/>
        <w:gridCol w:w="1470"/>
        <w:gridCol w:w="1470"/>
      </w:tblGrid>
      <w:tr w:rsidR="007F25A1" w:rsidRPr="007F25A1" w14:paraId="0E129117" w14:textId="77777777" w:rsidTr="007F25A1">
        <w:trPr>
          <w:cnfStyle w:val="100000000000" w:firstRow="1" w:lastRow="0" w:firstColumn="0" w:lastColumn="0" w:oddVBand="0" w:evenVBand="0" w:oddHBand="0" w:evenHBand="0" w:firstRowFirstColumn="0" w:firstRowLastColumn="0" w:lastRowFirstColumn="0" w:lastRowLastColumn="0"/>
          <w:divId w:val="1881429677"/>
          <w:trHeight w:val="315"/>
        </w:trPr>
        <w:tc>
          <w:tcPr>
            <w:cnfStyle w:val="001000000000" w:firstRow="0" w:lastRow="0" w:firstColumn="1" w:lastColumn="0" w:oddVBand="0" w:evenVBand="0" w:oddHBand="0" w:evenHBand="0" w:firstRowFirstColumn="0" w:firstRowLastColumn="0" w:lastRowFirstColumn="0" w:lastRowLastColumn="0"/>
            <w:tcW w:w="2374" w:type="dxa"/>
            <w:hideMark/>
          </w:tcPr>
          <w:p w14:paraId="3B537793" w14:textId="7B170ABA" w:rsidR="007F25A1" w:rsidRPr="007F25A1" w:rsidRDefault="007F25A1" w:rsidP="007F25A1">
            <w:pPr>
              <w:pStyle w:val="Tabelid"/>
              <w:rPr>
                <w:rFonts w:eastAsiaTheme="minorEastAsia"/>
                <w:i/>
                <w:szCs w:val="20"/>
              </w:rPr>
            </w:pPr>
            <w:r w:rsidRPr="007F25A1">
              <w:rPr>
                <w:rFonts w:eastAsiaTheme="minorEastAsia"/>
                <w:i/>
                <w:szCs w:val="20"/>
              </w:rPr>
              <w:t> </w:t>
            </w:r>
          </w:p>
        </w:tc>
        <w:tc>
          <w:tcPr>
            <w:tcW w:w="2935" w:type="dxa"/>
            <w:gridSpan w:val="2"/>
            <w:noWrap/>
            <w:hideMark/>
          </w:tcPr>
          <w:p w14:paraId="0C1F137A" w14:textId="77777777" w:rsidR="007F25A1" w:rsidRPr="007F25A1" w:rsidRDefault="007F25A1" w:rsidP="007F25A1">
            <w:pPr>
              <w:pStyle w:val="Tabelid"/>
              <w:jc w:val="right"/>
              <w:cnfStyle w:val="100000000000" w:firstRow="1"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31. detsember 2020</w:t>
            </w:r>
          </w:p>
        </w:tc>
        <w:tc>
          <w:tcPr>
            <w:tcW w:w="2941" w:type="dxa"/>
            <w:gridSpan w:val="2"/>
            <w:hideMark/>
          </w:tcPr>
          <w:p w14:paraId="1F3AF754" w14:textId="77777777" w:rsidR="007F25A1" w:rsidRPr="007F25A1" w:rsidRDefault="007F25A1" w:rsidP="007F25A1">
            <w:pPr>
              <w:pStyle w:val="Tabelid"/>
              <w:jc w:val="right"/>
              <w:cnfStyle w:val="100000000000" w:firstRow="1"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31. detsember 2021</w:t>
            </w:r>
          </w:p>
        </w:tc>
        <w:tc>
          <w:tcPr>
            <w:tcW w:w="1470" w:type="dxa"/>
            <w:hideMark/>
          </w:tcPr>
          <w:p w14:paraId="342F1A59" w14:textId="77777777" w:rsidR="007F25A1" w:rsidRPr="007F25A1" w:rsidRDefault="007F25A1" w:rsidP="007F25A1">
            <w:pPr>
              <w:pStyle w:val="Tabelid"/>
              <w:jc w:val="right"/>
              <w:cnfStyle w:val="100000000000" w:firstRow="1"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Muutus</w:t>
            </w:r>
          </w:p>
        </w:tc>
      </w:tr>
      <w:tr w:rsidR="007F25A1" w:rsidRPr="007F25A1" w14:paraId="102DE412" w14:textId="77777777" w:rsidTr="007F25A1">
        <w:trPr>
          <w:cnfStyle w:val="000000100000" w:firstRow="0" w:lastRow="0" w:firstColumn="0" w:lastColumn="0" w:oddVBand="0" w:evenVBand="0" w:oddHBand="1" w:evenHBand="0" w:firstRowFirstColumn="0" w:firstRowLastColumn="0" w:lastRowFirstColumn="0" w:lastRowLastColumn="0"/>
          <w:divId w:val="1881429677"/>
          <w:trHeight w:val="315"/>
        </w:trPr>
        <w:tc>
          <w:tcPr>
            <w:cnfStyle w:val="001000000000" w:firstRow="0" w:lastRow="0" w:firstColumn="1" w:lastColumn="0" w:oddVBand="0" w:evenVBand="0" w:oddHBand="0" w:evenHBand="0" w:firstRowFirstColumn="0" w:firstRowLastColumn="0" w:lastRowFirstColumn="0" w:lastRowLastColumn="0"/>
            <w:tcW w:w="2374" w:type="dxa"/>
            <w:noWrap/>
            <w:hideMark/>
          </w:tcPr>
          <w:p w14:paraId="7954E124" w14:textId="77777777" w:rsidR="007F25A1" w:rsidRPr="007F25A1" w:rsidRDefault="007F25A1" w:rsidP="007F25A1">
            <w:pPr>
              <w:pStyle w:val="Tabelid"/>
              <w:rPr>
                <w:rFonts w:eastAsiaTheme="minorEastAsia"/>
                <w:bCs/>
                <w:i/>
                <w:szCs w:val="20"/>
              </w:rPr>
            </w:pPr>
            <w:r w:rsidRPr="007F25A1">
              <w:rPr>
                <w:rFonts w:eastAsiaTheme="minorEastAsia"/>
                <w:bCs/>
                <w:i/>
                <w:szCs w:val="20"/>
              </w:rPr>
              <w:t> </w:t>
            </w:r>
          </w:p>
        </w:tc>
        <w:tc>
          <w:tcPr>
            <w:tcW w:w="1455" w:type="dxa"/>
            <w:hideMark/>
          </w:tcPr>
          <w:p w14:paraId="484E0E59"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b/>
                <w:bCs/>
                <w:i/>
                <w:szCs w:val="20"/>
              </w:rPr>
            </w:pPr>
            <w:r w:rsidRPr="007F25A1">
              <w:rPr>
                <w:rFonts w:eastAsiaTheme="minorEastAsia"/>
                <w:b/>
                <w:bCs/>
                <w:i/>
                <w:szCs w:val="20"/>
              </w:rPr>
              <w:t>mln eurot</w:t>
            </w:r>
          </w:p>
        </w:tc>
        <w:tc>
          <w:tcPr>
            <w:tcW w:w="1480" w:type="dxa"/>
            <w:hideMark/>
          </w:tcPr>
          <w:p w14:paraId="7589584D"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b/>
                <w:bCs/>
                <w:i/>
                <w:szCs w:val="20"/>
              </w:rPr>
            </w:pPr>
            <w:r w:rsidRPr="007F25A1">
              <w:rPr>
                <w:rFonts w:eastAsiaTheme="minorEastAsia"/>
                <w:b/>
                <w:bCs/>
                <w:i/>
                <w:szCs w:val="20"/>
              </w:rPr>
              <w:t>% SKPst</w:t>
            </w:r>
          </w:p>
        </w:tc>
        <w:tc>
          <w:tcPr>
            <w:tcW w:w="1471" w:type="dxa"/>
            <w:noWrap/>
            <w:hideMark/>
          </w:tcPr>
          <w:p w14:paraId="310D785C"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b/>
                <w:bCs/>
                <w:i/>
                <w:szCs w:val="20"/>
              </w:rPr>
            </w:pPr>
            <w:r w:rsidRPr="007F25A1">
              <w:rPr>
                <w:rFonts w:eastAsiaTheme="minorEastAsia"/>
                <w:b/>
                <w:bCs/>
                <w:i/>
                <w:szCs w:val="20"/>
              </w:rPr>
              <w:t>mln eurot</w:t>
            </w:r>
          </w:p>
        </w:tc>
        <w:tc>
          <w:tcPr>
            <w:tcW w:w="1470" w:type="dxa"/>
            <w:noWrap/>
            <w:hideMark/>
          </w:tcPr>
          <w:p w14:paraId="6CCF3AF5"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b/>
                <w:bCs/>
                <w:i/>
                <w:szCs w:val="20"/>
              </w:rPr>
            </w:pPr>
            <w:r w:rsidRPr="007F25A1">
              <w:rPr>
                <w:rFonts w:eastAsiaTheme="minorEastAsia"/>
                <w:b/>
                <w:bCs/>
                <w:i/>
                <w:szCs w:val="20"/>
              </w:rPr>
              <w:t>% SKPst</w:t>
            </w:r>
          </w:p>
        </w:tc>
        <w:tc>
          <w:tcPr>
            <w:tcW w:w="1470" w:type="dxa"/>
            <w:noWrap/>
            <w:hideMark/>
          </w:tcPr>
          <w:p w14:paraId="6515CB87"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b/>
                <w:bCs/>
                <w:i/>
                <w:szCs w:val="20"/>
              </w:rPr>
            </w:pPr>
            <w:r w:rsidRPr="007F25A1">
              <w:rPr>
                <w:rFonts w:eastAsiaTheme="minorEastAsia"/>
                <w:b/>
                <w:bCs/>
                <w:i/>
                <w:szCs w:val="20"/>
              </w:rPr>
              <w:t>% SKPst</w:t>
            </w:r>
          </w:p>
        </w:tc>
      </w:tr>
      <w:tr w:rsidR="007F25A1" w:rsidRPr="007F25A1" w14:paraId="38987E2C" w14:textId="77777777" w:rsidTr="007F25A1">
        <w:trPr>
          <w:divId w:val="1881429677"/>
          <w:trHeight w:val="315"/>
        </w:trPr>
        <w:tc>
          <w:tcPr>
            <w:cnfStyle w:val="001000000000" w:firstRow="0" w:lastRow="0" w:firstColumn="1" w:lastColumn="0" w:oddVBand="0" w:evenVBand="0" w:oddHBand="0" w:evenHBand="0" w:firstRowFirstColumn="0" w:firstRowLastColumn="0" w:lastRowFirstColumn="0" w:lastRowLastColumn="0"/>
            <w:tcW w:w="2374" w:type="dxa"/>
            <w:noWrap/>
            <w:hideMark/>
          </w:tcPr>
          <w:p w14:paraId="4B933AD7" w14:textId="77777777" w:rsidR="007F25A1" w:rsidRPr="007F25A1" w:rsidRDefault="007F25A1" w:rsidP="007F25A1">
            <w:pPr>
              <w:pStyle w:val="Tabelid"/>
              <w:rPr>
                <w:rFonts w:eastAsiaTheme="minorEastAsia"/>
                <w:bCs/>
                <w:i/>
                <w:szCs w:val="20"/>
              </w:rPr>
            </w:pPr>
            <w:r w:rsidRPr="007F25A1">
              <w:rPr>
                <w:rFonts w:eastAsiaTheme="minorEastAsia"/>
                <w:bCs/>
                <w:i/>
                <w:szCs w:val="20"/>
              </w:rPr>
              <w:t>Valitsussektor</w:t>
            </w:r>
          </w:p>
        </w:tc>
        <w:tc>
          <w:tcPr>
            <w:tcW w:w="1455" w:type="dxa"/>
            <w:hideMark/>
          </w:tcPr>
          <w:p w14:paraId="6A451BB3"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5 097,5</w:t>
            </w:r>
          </w:p>
        </w:tc>
        <w:tc>
          <w:tcPr>
            <w:tcW w:w="1480" w:type="dxa"/>
            <w:hideMark/>
          </w:tcPr>
          <w:p w14:paraId="78449ACF"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19,0</w:t>
            </w:r>
          </w:p>
        </w:tc>
        <w:tc>
          <w:tcPr>
            <w:tcW w:w="1471" w:type="dxa"/>
            <w:hideMark/>
          </w:tcPr>
          <w:p w14:paraId="7AF3EFE8"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5 534,9</w:t>
            </w:r>
          </w:p>
        </w:tc>
        <w:tc>
          <w:tcPr>
            <w:tcW w:w="1470" w:type="dxa"/>
            <w:hideMark/>
          </w:tcPr>
          <w:p w14:paraId="7B478918"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18,1</w:t>
            </w:r>
          </w:p>
        </w:tc>
        <w:tc>
          <w:tcPr>
            <w:tcW w:w="1470" w:type="dxa"/>
            <w:hideMark/>
          </w:tcPr>
          <w:p w14:paraId="02635AA1"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-0,9</w:t>
            </w:r>
          </w:p>
        </w:tc>
      </w:tr>
      <w:tr w:rsidR="007F25A1" w:rsidRPr="007F25A1" w14:paraId="6E8E5FF1" w14:textId="77777777" w:rsidTr="007F25A1">
        <w:trPr>
          <w:cnfStyle w:val="000000100000" w:firstRow="0" w:lastRow="0" w:firstColumn="0" w:lastColumn="0" w:oddVBand="0" w:evenVBand="0" w:oddHBand="1" w:evenHBand="0" w:firstRowFirstColumn="0" w:firstRowLastColumn="0" w:lastRowFirstColumn="0" w:lastRowLastColumn="0"/>
          <w:divId w:val="1881429677"/>
          <w:trHeight w:val="300"/>
        </w:trPr>
        <w:tc>
          <w:tcPr>
            <w:cnfStyle w:val="001000000000" w:firstRow="0" w:lastRow="0" w:firstColumn="1" w:lastColumn="0" w:oddVBand="0" w:evenVBand="0" w:oddHBand="0" w:evenHBand="0" w:firstRowFirstColumn="0" w:firstRowLastColumn="0" w:lastRowFirstColumn="0" w:lastRowLastColumn="0"/>
            <w:tcW w:w="2374" w:type="dxa"/>
            <w:noWrap/>
            <w:hideMark/>
          </w:tcPr>
          <w:p w14:paraId="4D2D33DB" w14:textId="77777777" w:rsidR="007F25A1" w:rsidRPr="007F25A1" w:rsidRDefault="007F25A1" w:rsidP="007F25A1">
            <w:pPr>
              <w:pStyle w:val="Tabelid"/>
              <w:rPr>
                <w:rFonts w:eastAsiaTheme="minorEastAsia"/>
                <w:bCs/>
                <w:i/>
                <w:szCs w:val="20"/>
              </w:rPr>
            </w:pPr>
            <w:r w:rsidRPr="007F25A1">
              <w:rPr>
                <w:rFonts w:eastAsiaTheme="minorEastAsia"/>
                <w:bCs/>
                <w:i/>
                <w:szCs w:val="20"/>
              </w:rPr>
              <w:t>Kodumaine võlg</w:t>
            </w:r>
          </w:p>
        </w:tc>
        <w:tc>
          <w:tcPr>
            <w:tcW w:w="1455" w:type="dxa"/>
            <w:noWrap/>
            <w:hideMark/>
          </w:tcPr>
          <w:p w14:paraId="5A2B292E"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1656,8</w:t>
            </w:r>
          </w:p>
        </w:tc>
        <w:tc>
          <w:tcPr>
            <w:tcW w:w="1480" w:type="dxa"/>
            <w:noWrap/>
            <w:hideMark/>
          </w:tcPr>
          <w:p w14:paraId="44D7B4A2"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6,2</w:t>
            </w:r>
          </w:p>
        </w:tc>
        <w:tc>
          <w:tcPr>
            <w:tcW w:w="1471" w:type="dxa"/>
            <w:noWrap/>
            <w:hideMark/>
          </w:tcPr>
          <w:p w14:paraId="22398C69"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1736,3</w:t>
            </w:r>
          </w:p>
        </w:tc>
        <w:tc>
          <w:tcPr>
            <w:tcW w:w="1470" w:type="dxa"/>
            <w:noWrap/>
            <w:hideMark/>
          </w:tcPr>
          <w:p w14:paraId="14CC5EA8"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5,7</w:t>
            </w:r>
          </w:p>
        </w:tc>
        <w:tc>
          <w:tcPr>
            <w:tcW w:w="1470" w:type="dxa"/>
            <w:noWrap/>
            <w:hideMark/>
          </w:tcPr>
          <w:p w14:paraId="7F580395"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-0,5</w:t>
            </w:r>
          </w:p>
        </w:tc>
      </w:tr>
      <w:tr w:rsidR="007F25A1" w:rsidRPr="007F25A1" w14:paraId="586A8D20" w14:textId="77777777" w:rsidTr="007F25A1">
        <w:trPr>
          <w:divId w:val="1881429677"/>
          <w:trHeight w:val="300"/>
        </w:trPr>
        <w:tc>
          <w:tcPr>
            <w:cnfStyle w:val="001000000000" w:firstRow="0" w:lastRow="0" w:firstColumn="1" w:lastColumn="0" w:oddVBand="0" w:evenVBand="0" w:oddHBand="0" w:evenHBand="0" w:firstRowFirstColumn="0" w:firstRowLastColumn="0" w:lastRowFirstColumn="0" w:lastRowLastColumn="0"/>
            <w:tcW w:w="2374" w:type="dxa"/>
            <w:noWrap/>
            <w:hideMark/>
          </w:tcPr>
          <w:p w14:paraId="67038148" w14:textId="77777777" w:rsidR="007F25A1" w:rsidRPr="007F25A1" w:rsidRDefault="007F25A1" w:rsidP="007F25A1">
            <w:pPr>
              <w:pStyle w:val="Tabelid"/>
              <w:rPr>
                <w:rFonts w:eastAsiaTheme="minorEastAsia"/>
                <w:bCs/>
                <w:i/>
                <w:szCs w:val="20"/>
              </w:rPr>
            </w:pPr>
            <w:proofErr w:type="spellStart"/>
            <w:r w:rsidRPr="007F25A1">
              <w:rPr>
                <w:rFonts w:eastAsiaTheme="minorEastAsia"/>
                <w:bCs/>
                <w:i/>
                <w:szCs w:val="20"/>
              </w:rPr>
              <w:t>Välisvõlg</w:t>
            </w:r>
            <w:proofErr w:type="spellEnd"/>
          </w:p>
        </w:tc>
        <w:tc>
          <w:tcPr>
            <w:tcW w:w="1455" w:type="dxa"/>
            <w:hideMark/>
          </w:tcPr>
          <w:p w14:paraId="0C83942E"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3 440,7</w:t>
            </w:r>
          </w:p>
        </w:tc>
        <w:tc>
          <w:tcPr>
            <w:tcW w:w="1480" w:type="dxa"/>
            <w:hideMark/>
          </w:tcPr>
          <w:p w14:paraId="2ED86734"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12,8</w:t>
            </w:r>
          </w:p>
        </w:tc>
        <w:tc>
          <w:tcPr>
            <w:tcW w:w="1471" w:type="dxa"/>
            <w:hideMark/>
          </w:tcPr>
          <w:p w14:paraId="3EFBFC19"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3 798,6</w:t>
            </w:r>
          </w:p>
        </w:tc>
        <w:tc>
          <w:tcPr>
            <w:tcW w:w="1470" w:type="dxa"/>
            <w:hideMark/>
          </w:tcPr>
          <w:p w14:paraId="64032C7D"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12,4</w:t>
            </w:r>
          </w:p>
        </w:tc>
        <w:tc>
          <w:tcPr>
            <w:tcW w:w="1470" w:type="dxa"/>
            <w:hideMark/>
          </w:tcPr>
          <w:p w14:paraId="68CE9658"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-0,4</w:t>
            </w:r>
          </w:p>
        </w:tc>
      </w:tr>
      <w:tr w:rsidR="007F25A1" w:rsidRPr="007F25A1" w14:paraId="5A6F27ED" w14:textId="77777777" w:rsidTr="007F25A1">
        <w:trPr>
          <w:cnfStyle w:val="000000100000" w:firstRow="0" w:lastRow="0" w:firstColumn="0" w:lastColumn="0" w:oddVBand="0" w:evenVBand="0" w:oddHBand="1" w:evenHBand="0" w:firstRowFirstColumn="0" w:firstRowLastColumn="0" w:lastRowFirstColumn="0" w:lastRowLastColumn="0"/>
          <w:divId w:val="1881429677"/>
          <w:trHeight w:val="300"/>
        </w:trPr>
        <w:tc>
          <w:tcPr>
            <w:cnfStyle w:val="001000000000" w:firstRow="0" w:lastRow="0" w:firstColumn="1" w:lastColumn="0" w:oddVBand="0" w:evenVBand="0" w:oddHBand="0" w:evenHBand="0" w:firstRowFirstColumn="0" w:firstRowLastColumn="0" w:lastRowFirstColumn="0" w:lastRowLastColumn="0"/>
            <w:tcW w:w="2374" w:type="dxa"/>
            <w:noWrap/>
            <w:hideMark/>
          </w:tcPr>
          <w:p w14:paraId="0AB4F8B1" w14:textId="77777777" w:rsidR="007F25A1" w:rsidRPr="007F25A1" w:rsidRDefault="007F25A1" w:rsidP="007F25A1">
            <w:pPr>
              <w:pStyle w:val="Tabelid"/>
              <w:rPr>
                <w:rFonts w:eastAsiaTheme="minorEastAsia"/>
                <w:bCs/>
                <w:i/>
                <w:szCs w:val="20"/>
              </w:rPr>
            </w:pPr>
            <w:bookmarkStart w:id="213" w:name="RANGE!B350"/>
            <w:r w:rsidRPr="007F25A1">
              <w:rPr>
                <w:rFonts w:eastAsiaTheme="minorEastAsia"/>
                <w:bCs/>
                <w:i/>
                <w:szCs w:val="20"/>
              </w:rPr>
              <w:t>Keskvalitsus</w:t>
            </w:r>
            <w:r w:rsidRPr="007F25A1">
              <w:rPr>
                <w:rFonts w:eastAsiaTheme="minorEastAsia"/>
                <w:i/>
                <w:szCs w:val="20"/>
                <w:vertAlign w:val="superscript"/>
              </w:rPr>
              <w:t>[1]</w:t>
            </w:r>
            <w:bookmarkEnd w:id="213"/>
          </w:p>
        </w:tc>
        <w:tc>
          <w:tcPr>
            <w:tcW w:w="1455" w:type="dxa"/>
            <w:noWrap/>
            <w:hideMark/>
          </w:tcPr>
          <w:p w14:paraId="5BB55FA3"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5053,4</w:t>
            </w:r>
          </w:p>
        </w:tc>
        <w:tc>
          <w:tcPr>
            <w:tcW w:w="1480" w:type="dxa"/>
            <w:noWrap/>
            <w:hideMark/>
          </w:tcPr>
          <w:p w14:paraId="5822D90A"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18,8</w:t>
            </w:r>
          </w:p>
        </w:tc>
        <w:tc>
          <w:tcPr>
            <w:tcW w:w="1471" w:type="dxa"/>
            <w:noWrap/>
            <w:hideMark/>
          </w:tcPr>
          <w:p w14:paraId="4BED32E4"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5563,2</w:t>
            </w:r>
          </w:p>
        </w:tc>
        <w:tc>
          <w:tcPr>
            <w:tcW w:w="1470" w:type="dxa"/>
            <w:noWrap/>
            <w:hideMark/>
          </w:tcPr>
          <w:p w14:paraId="65C641FF"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18,1</w:t>
            </w:r>
          </w:p>
        </w:tc>
        <w:tc>
          <w:tcPr>
            <w:tcW w:w="1470" w:type="dxa"/>
            <w:noWrap/>
            <w:hideMark/>
          </w:tcPr>
          <w:p w14:paraId="01DEC66E"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-0,7</w:t>
            </w:r>
          </w:p>
        </w:tc>
      </w:tr>
      <w:tr w:rsidR="007F25A1" w:rsidRPr="007F25A1" w14:paraId="165AD4FB" w14:textId="77777777" w:rsidTr="007F25A1">
        <w:trPr>
          <w:divId w:val="1881429677"/>
          <w:trHeight w:val="300"/>
        </w:trPr>
        <w:tc>
          <w:tcPr>
            <w:cnfStyle w:val="001000000000" w:firstRow="0" w:lastRow="0" w:firstColumn="1" w:lastColumn="0" w:oddVBand="0" w:evenVBand="0" w:oddHBand="0" w:evenHBand="0" w:firstRowFirstColumn="0" w:firstRowLastColumn="0" w:lastRowFirstColumn="0" w:lastRowLastColumn="0"/>
            <w:tcW w:w="2374" w:type="dxa"/>
            <w:noWrap/>
            <w:hideMark/>
          </w:tcPr>
          <w:p w14:paraId="755B9141" w14:textId="77777777" w:rsidR="007F25A1" w:rsidRPr="007F25A1" w:rsidRDefault="007F25A1" w:rsidP="007F25A1">
            <w:pPr>
              <w:pStyle w:val="Tabelid"/>
              <w:rPr>
                <w:rFonts w:eastAsiaTheme="minorEastAsia"/>
                <w:bCs/>
                <w:i/>
                <w:szCs w:val="20"/>
              </w:rPr>
            </w:pPr>
            <w:r w:rsidRPr="007F25A1">
              <w:rPr>
                <w:rFonts w:eastAsiaTheme="minorEastAsia"/>
                <w:bCs/>
                <w:i/>
                <w:szCs w:val="20"/>
              </w:rPr>
              <w:t>Kodumaine võlg</w:t>
            </w:r>
          </w:p>
        </w:tc>
        <w:tc>
          <w:tcPr>
            <w:tcW w:w="1455" w:type="dxa"/>
            <w:hideMark/>
          </w:tcPr>
          <w:p w14:paraId="54E05982"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1 841,8</w:t>
            </w:r>
          </w:p>
        </w:tc>
        <w:tc>
          <w:tcPr>
            <w:tcW w:w="1480" w:type="dxa"/>
            <w:hideMark/>
          </w:tcPr>
          <w:p w14:paraId="3DD6A379"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6,9</w:t>
            </w:r>
          </w:p>
        </w:tc>
        <w:tc>
          <w:tcPr>
            <w:tcW w:w="1471" w:type="dxa"/>
            <w:hideMark/>
          </w:tcPr>
          <w:p w14:paraId="6E4A2B3A"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1 987,2</w:t>
            </w:r>
          </w:p>
        </w:tc>
        <w:tc>
          <w:tcPr>
            <w:tcW w:w="1470" w:type="dxa"/>
            <w:hideMark/>
          </w:tcPr>
          <w:p w14:paraId="2E693AD8"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6,5</w:t>
            </w:r>
          </w:p>
        </w:tc>
        <w:tc>
          <w:tcPr>
            <w:tcW w:w="1470" w:type="dxa"/>
            <w:hideMark/>
          </w:tcPr>
          <w:p w14:paraId="1603442B"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-0,4</w:t>
            </w:r>
          </w:p>
        </w:tc>
      </w:tr>
      <w:tr w:rsidR="007F25A1" w:rsidRPr="007F25A1" w14:paraId="25848CB0" w14:textId="77777777" w:rsidTr="007F25A1">
        <w:trPr>
          <w:cnfStyle w:val="000000100000" w:firstRow="0" w:lastRow="0" w:firstColumn="0" w:lastColumn="0" w:oddVBand="0" w:evenVBand="0" w:oddHBand="1" w:evenHBand="0" w:firstRowFirstColumn="0" w:firstRowLastColumn="0" w:lastRowFirstColumn="0" w:lastRowLastColumn="0"/>
          <w:divId w:val="1881429677"/>
          <w:trHeight w:val="300"/>
        </w:trPr>
        <w:tc>
          <w:tcPr>
            <w:cnfStyle w:val="001000000000" w:firstRow="0" w:lastRow="0" w:firstColumn="1" w:lastColumn="0" w:oddVBand="0" w:evenVBand="0" w:oddHBand="0" w:evenHBand="0" w:firstRowFirstColumn="0" w:firstRowLastColumn="0" w:lastRowFirstColumn="0" w:lastRowLastColumn="0"/>
            <w:tcW w:w="2374" w:type="dxa"/>
            <w:noWrap/>
            <w:hideMark/>
          </w:tcPr>
          <w:p w14:paraId="35A94CDE" w14:textId="77777777" w:rsidR="007F25A1" w:rsidRPr="007F25A1" w:rsidRDefault="007F25A1" w:rsidP="007F25A1">
            <w:pPr>
              <w:pStyle w:val="Tabelid"/>
              <w:rPr>
                <w:rFonts w:eastAsiaTheme="minorEastAsia"/>
                <w:bCs/>
                <w:i/>
                <w:szCs w:val="20"/>
              </w:rPr>
            </w:pPr>
            <w:proofErr w:type="spellStart"/>
            <w:r w:rsidRPr="007F25A1">
              <w:rPr>
                <w:rFonts w:eastAsiaTheme="minorEastAsia"/>
                <w:bCs/>
                <w:i/>
                <w:szCs w:val="20"/>
              </w:rPr>
              <w:t>Välisvõlg</w:t>
            </w:r>
            <w:proofErr w:type="spellEnd"/>
          </w:p>
        </w:tc>
        <w:tc>
          <w:tcPr>
            <w:tcW w:w="1455" w:type="dxa"/>
            <w:noWrap/>
            <w:hideMark/>
          </w:tcPr>
          <w:p w14:paraId="3AF6B684"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3211,6</w:t>
            </w:r>
          </w:p>
        </w:tc>
        <w:tc>
          <w:tcPr>
            <w:tcW w:w="1480" w:type="dxa"/>
            <w:noWrap/>
            <w:hideMark/>
          </w:tcPr>
          <w:p w14:paraId="25C4C5F0"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12,0</w:t>
            </w:r>
          </w:p>
        </w:tc>
        <w:tc>
          <w:tcPr>
            <w:tcW w:w="1471" w:type="dxa"/>
            <w:noWrap/>
            <w:hideMark/>
          </w:tcPr>
          <w:p w14:paraId="08EA55D1"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3576</w:t>
            </w:r>
          </w:p>
        </w:tc>
        <w:tc>
          <w:tcPr>
            <w:tcW w:w="1470" w:type="dxa"/>
            <w:noWrap/>
            <w:hideMark/>
          </w:tcPr>
          <w:p w14:paraId="20EAED4C"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11,7</w:t>
            </w:r>
          </w:p>
        </w:tc>
        <w:tc>
          <w:tcPr>
            <w:tcW w:w="1470" w:type="dxa"/>
            <w:noWrap/>
            <w:hideMark/>
          </w:tcPr>
          <w:p w14:paraId="6F9E4330"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-0,3</w:t>
            </w:r>
          </w:p>
        </w:tc>
      </w:tr>
      <w:tr w:rsidR="007F25A1" w:rsidRPr="007F25A1" w14:paraId="3A5D38DD" w14:textId="77777777" w:rsidTr="007F25A1">
        <w:trPr>
          <w:divId w:val="1881429677"/>
          <w:trHeight w:val="300"/>
        </w:trPr>
        <w:tc>
          <w:tcPr>
            <w:cnfStyle w:val="001000000000" w:firstRow="0" w:lastRow="0" w:firstColumn="1" w:lastColumn="0" w:oddVBand="0" w:evenVBand="0" w:oddHBand="0" w:evenHBand="0" w:firstRowFirstColumn="0" w:firstRowLastColumn="0" w:lastRowFirstColumn="0" w:lastRowLastColumn="0"/>
            <w:tcW w:w="2374" w:type="dxa"/>
            <w:noWrap/>
            <w:hideMark/>
          </w:tcPr>
          <w:p w14:paraId="69160657" w14:textId="77777777" w:rsidR="007F25A1" w:rsidRPr="007F25A1" w:rsidRDefault="007F25A1" w:rsidP="007F25A1">
            <w:pPr>
              <w:pStyle w:val="Tabelid"/>
              <w:rPr>
                <w:rFonts w:eastAsiaTheme="minorEastAsia"/>
                <w:bCs/>
                <w:i/>
                <w:szCs w:val="20"/>
              </w:rPr>
            </w:pPr>
            <w:r w:rsidRPr="007F25A1">
              <w:rPr>
                <w:rFonts w:eastAsiaTheme="minorEastAsia"/>
                <w:bCs/>
                <w:i/>
                <w:szCs w:val="20"/>
              </w:rPr>
              <w:t>Kohalikud omavalitsused</w:t>
            </w:r>
          </w:p>
        </w:tc>
        <w:tc>
          <w:tcPr>
            <w:tcW w:w="1455" w:type="dxa"/>
            <w:hideMark/>
          </w:tcPr>
          <w:p w14:paraId="0CFE1F9C"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877,1</w:t>
            </w:r>
          </w:p>
        </w:tc>
        <w:tc>
          <w:tcPr>
            <w:tcW w:w="1480" w:type="dxa"/>
            <w:hideMark/>
          </w:tcPr>
          <w:p w14:paraId="0C0F5BA6"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3,3</w:t>
            </w:r>
          </w:p>
        </w:tc>
        <w:tc>
          <w:tcPr>
            <w:tcW w:w="1471" w:type="dxa"/>
            <w:hideMark/>
          </w:tcPr>
          <w:p w14:paraId="443B96B8"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908,1</w:t>
            </w:r>
          </w:p>
        </w:tc>
        <w:tc>
          <w:tcPr>
            <w:tcW w:w="1470" w:type="dxa"/>
            <w:hideMark/>
          </w:tcPr>
          <w:p w14:paraId="3D11D926"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3,0</w:t>
            </w:r>
          </w:p>
        </w:tc>
        <w:tc>
          <w:tcPr>
            <w:tcW w:w="1470" w:type="dxa"/>
            <w:hideMark/>
          </w:tcPr>
          <w:p w14:paraId="70C46B81"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-0,3</w:t>
            </w:r>
          </w:p>
        </w:tc>
      </w:tr>
      <w:tr w:rsidR="007F25A1" w:rsidRPr="007F25A1" w14:paraId="6726AD08" w14:textId="77777777" w:rsidTr="007F25A1">
        <w:trPr>
          <w:cnfStyle w:val="000000100000" w:firstRow="0" w:lastRow="0" w:firstColumn="0" w:lastColumn="0" w:oddVBand="0" w:evenVBand="0" w:oddHBand="1" w:evenHBand="0" w:firstRowFirstColumn="0" w:firstRowLastColumn="0" w:lastRowFirstColumn="0" w:lastRowLastColumn="0"/>
          <w:divId w:val="1881429677"/>
          <w:trHeight w:val="300"/>
        </w:trPr>
        <w:tc>
          <w:tcPr>
            <w:cnfStyle w:val="001000000000" w:firstRow="0" w:lastRow="0" w:firstColumn="1" w:lastColumn="0" w:oddVBand="0" w:evenVBand="0" w:oddHBand="0" w:evenHBand="0" w:firstRowFirstColumn="0" w:firstRowLastColumn="0" w:lastRowFirstColumn="0" w:lastRowLastColumn="0"/>
            <w:tcW w:w="2374" w:type="dxa"/>
            <w:noWrap/>
            <w:hideMark/>
          </w:tcPr>
          <w:p w14:paraId="255B39A6" w14:textId="77777777" w:rsidR="007F25A1" w:rsidRPr="007F25A1" w:rsidRDefault="007F25A1" w:rsidP="007F25A1">
            <w:pPr>
              <w:pStyle w:val="Tabelid"/>
              <w:rPr>
                <w:rFonts w:eastAsiaTheme="minorEastAsia"/>
                <w:bCs/>
                <w:i/>
                <w:szCs w:val="20"/>
              </w:rPr>
            </w:pPr>
            <w:r w:rsidRPr="007F25A1">
              <w:rPr>
                <w:rFonts w:eastAsiaTheme="minorEastAsia"/>
                <w:bCs/>
                <w:i/>
                <w:szCs w:val="20"/>
              </w:rPr>
              <w:t>Kodumaine võlg</w:t>
            </w:r>
          </w:p>
        </w:tc>
        <w:tc>
          <w:tcPr>
            <w:tcW w:w="1455" w:type="dxa"/>
            <w:noWrap/>
            <w:hideMark/>
          </w:tcPr>
          <w:p w14:paraId="37BF5418"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648</w:t>
            </w:r>
          </w:p>
        </w:tc>
        <w:tc>
          <w:tcPr>
            <w:tcW w:w="1480" w:type="dxa"/>
            <w:noWrap/>
            <w:hideMark/>
          </w:tcPr>
          <w:p w14:paraId="4209FECD"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2,4</w:t>
            </w:r>
          </w:p>
        </w:tc>
        <w:tc>
          <w:tcPr>
            <w:tcW w:w="1471" w:type="dxa"/>
            <w:noWrap/>
            <w:hideMark/>
          </w:tcPr>
          <w:p w14:paraId="1480CF66"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685,5</w:t>
            </w:r>
          </w:p>
        </w:tc>
        <w:tc>
          <w:tcPr>
            <w:tcW w:w="1470" w:type="dxa"/>
            <w:noWrap/>
            <w:hideMark/>
          </w:tcPr>
          <w:p w14:paraId="2CA13620"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2,2</w:t>
            </w:r>
          </w:p>
        </w:tc>
        <w:tc>
          <w:tcPr>
            <w:tcW w:w="1470" w:type="dxa"/>
            <w:noWrap/>
            <w:hideMark/>
          </w:tcPr>
          <w:p w14:paraId="3FA63AB3"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-0,2</w:t>
            </w:r>
          </w:p>
        </w:tc>
      </w:tr>
      <w:tr w:rsidR="007F25A1" w:rsidRPr="007F25A1" w14:paraId="797193EA" w14:textId="77777777" w:rsidTr="007F25A1">
        <w:trPr>
          <w:divId w:val="1881429677"/>
          <w:trHeight w:val="300"/>
        </w:trPr>
        <w:tc>
          <w:tcPr>
            <w:cnfStyle w:val="001000000000" w:firstRow="0" w:lastRow="0" w:firstColumn="1" w:lastColumn="0" w:oddVBand="0" w:evenVBand="0" w:oddHBand="0" w:evenHBand="0" w:firstRowFirstColumn="0" w:firstRowLastColumn="0" w:lastRowFirstColumn="0" w:lastRowLastColumn="0"/>
            <w:tcW w:w="2374" w:type="dxa"/>
            <w:noWrap/>
            <w:hideMark/>
          </w:tcPr>
          <w:p w14:paraId="51C8FB19" w14:textId="77777777" w:rsidR="007F25A1" w:rsidRPr="007F25A1" w:rsidRDefault="007F25A1" w:rsidP="007F25A1">
            <w:pPr>
              <w:pStyle w:val="Tabelid"/>
              <w:rPr>
                <w:rFonts w:eastAsiaTheme="minorEastAsia"/>
                <w:bCs/>
                <w:i/>
                <w:szCs w:val="20"/>
              </w:rPr>
            </w:pPr>
            <w:proofErr w:type="spellStart"/>
            <w:r w:rsidRPr="007F25A1">
              <w:rPr>
                <w:rFonts w:eastAsiaTheme="minorEastAsia"/>
                <w:bCs/>
                <w:i/>
                <w:szCs w:val="20"/>
              </w:rPr>
              <w:t>Välisvõlg</w:t>
            </w:r>
            <w:proofErr w:type="spellEnd"/>
          </w:p>
        </w:tc>
        <w:tc>
          <w:tcPr>
            <w:tcW w:w="1455" w:type="dxa"/>
            <w:hideMark/>
          </w:tcPr>
          <w:p w14:paraId="2655DD34"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229,1</w:t>
            </w:r>
          </w:p>
        </w:tc>
        <w:tc>
          <w:tcPr>
            <w:tcW w:w="1480" w:type="dxa"/>
            <w:hideMark/>
          </w:tcPr>
          <w:p w14:paraId="4713D5AD"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0,9</w:t>
            </w:r>
          </w:p>
        </w:tc>
        <w:tc>
          <w:tcPr>
            <w:tcW w:w="1471" w:type="dxa"/>
            <w:hideMark/>
          </w:tcPr>
          <w:p w14:paraId="5EF93A1E"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222,6</w:t>
            </w:r>
          </w:p>
        </w:tc>
        <w:tc>
          <w:tcPr>
            <w:tcW w:w="1470" w:type="dxa"/>
            <w:hideMark/>
          </w:tcPr>
          <w:p w14:paraId="1A377CCC"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0,7</w:t>
            </w:r>
          </w:p>
        </w:tc>
        <w:tc>
          <w:tcPr>
            <w:tcW w:w="1470" w:type="dxa"/>
            <w:hideMark/>
          </w:tcPr>
          <w:p w14:paraId="5DBB672A"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-0,1</w:t>
            </w:r>
          </w:p>
        </w:tc>
      </w:tr>
      <w:tr w:rsidR="007F25A1" w:rsidRPr="007F25A1" w14:paraId="25BE6C85" w14:textId="77777777" w:rsidTr="007F25A1">
        <w:trPr>
          <w:cnfStyle w:val="000000100000" w:firstRow="0" w:lastRow="0" w:firstColumn="0" w:lastColumn="0" w:oddVBand="0" w:evenVBand="0" w:oddHBand="1" w:evenHBand="0" w:firstRowFirstColumn="0" w:firstRowLastColumn="0" w:lastRowFirstColumn="0" w:lastRowLastColumn="0"/>
          <w:divId w:val="1881429677"/>
          <w:trHeight w:val="300"/>
        </w:trPr>
        <w:tc>
          <w:tcPr>
            <w:cnfStyle w:val="001000000000" w:firstRow="0" w:lastRow="0" w:firstColumn="1" w:lastColumn="0" w:oddVBand="0" w:evenVBand="0" w:oddHBand="0" w:evenHBand="0" w:firstRowFirstColumn="0" w:firstRowLastColumn="0" w:lastRowFirstColumn="0" w:lastRowLastColumn="0"/>
            <w:tcW w:w="2374" w:type="dxa"/>
            <w:noWrap/>
            <w:hideMark/>
          </w:tcPr>
          <w:p w14:paraId="15447A29" w14:textId="77777777" w:rsidR="007F25A1" w:rsidRPr="007F25A1" w:rsidRDefault="007F25A1" w:rsidP="007F25A1">
            <w:pPr>
              <w:pStyle w:val="Tabelid"/>
              <w:rPr>
                <w:rFonts w:eastAsiaTheme="minorEastAsia"/>
                <w:bCs/>
                <w:i/>
                <w:szCs w:val="20"/>
              </w:rPr>
            </w:pPr>
            <w:r w:rsidRPr="007F25A1">
              <w:rPr>
                <w:rFonts w:eastAsiaTheme="minorEastAsia"/>
                <w:bCs/>
                <w:i/>
                <w:szCs w:val="20"/>
              </w:rPr>
              <w:t>Sotsiaalkindlustusfondid</w:t>
            </w:r>
          </w:p>
        </w:tc>
        <w:tc>
          <w:tcPr>
            <w:tcW w:w="1455" w:type="dxa"/>
            <w:noWrap/>
            <w:hideMark/>
          </w:tcPr>
          <w:p w14:paraId="7F0F3DFF"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0</w:t>
            </w:r>
          </w:p>
        </w:tc>
        <w:tc>
          <w:tcPr>
            <w:tcW w:w="1480" w:type="dxa"/>
            <w:noWrap/>
            <w:hideMark/>
          </w:tcPr>
          <w:p w14:paraId="06CA6E4E"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0</w:t>
            </w:r>
          </w:p>
        </w:tc>
        <w:tc>
          <w:tcPr>
            <w:tcW w:w="1471" w:type="dxa"/>
            <w:noWrap/>
            <w:hideMark/>
          </w:tcPr>
          <w:p w14:paraId="1EF653D2"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0</w:t>
            </w:r>
          </w:p>
        </w:tc>
        <w:tc>
          <w:tcPr>
            <w:tcW w:w="1470" w:type="dxa"/>
            <w:noWrap/>
            <w:hideMark/>
          </w:tcPr>
          <w:p w14:paraId="6AFA5C94"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0</w:t>
            </w:r>
          </w:p>
        </w:tc>
        <w:tc>
          <w:tcPr>
            <w:tcW w:w="1470" w:type="dxa"/>
            <w:noWrap/>
            <w:hideMark/>
          </w:tcPr>
          <w:p w14:paraId="21BE89EF"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0</w:t>
            </w:r>
          </w:p>
        </w:tc>
      </w:tr>
      <w:tr w:rsidR="007F25A1" w:rsidRPr="007F25A1" w14:paraId="75726D94" w14:textId="77777777" w:rsidTr="007F25A1">
        <w:trPr>
          <w:divId w:val="1881429677"/>
          <w:trHeight w:val="300"/>
        </w:trPr>
        <w:tc>
          <w:tcPr>
            <w:cnfStyle w:val="001000000000" w:firstRow="0" w:lastRow="0" w:firstColumn="1" w:lastColumn="0" w:oddVBand="0" w:evenVBand="0" w:oddHBand="0" w:evenHBand="0" w:firstRowFirstColumn="0" w:firstRowLastColumn="0" w:lastRowFirstColumn="0" w:lastRowLastColumn="0"/>
            <w:tcW w:w="2374" w:type="dxa"/>
            <w:noWrap/>
            <w:hideMark/>
          </w:tcPr>
          <w:p w14:paraId="1555E3DD" w14:textId="77777777" w:rsidR="007F25A1" w:rsidRPr="007F25A1" w:rsidRDefault="007F25A1" w:rsidP="007F25A1">
            <w:pPr>
              <w:pStyle w:val="Tabelid"/>
              <w:rPr>
                <w:rFonts w:eastAsiaTheme="minorEastAsia"/>
                <w:bCs/>
                <w:i/>
                <w:szCs w:val="20"/>
              </w:rPr>
            </w:pPr>
            <w:r w:rsidRPr="007F25A1">
              <w:rPr>
                <w:rFonts w:eastAsiaTheme="minorEastAsia"/>
                <w:bCs/>
                <w:i/>
                <w:szCs w:val="20"/>
              </w:rPr>
              <w:t>Kodumaine võlg</w:t>
            </w:r>
          </w:p>
        </w:tc>
        <w:tc>
          <w:tcPr>
            <w:tcW w:w="1455" w:type="dxa"/>
            <w:hideMark/>
          </w:tcPr>
          <w:p w14:paraId="1B135BF2"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0</w:t>
            </w:r>
          </w:p>
        </w:tc>
        <w:tc>
          <w:tcPr>
            <w:tcW w:w="1480" w:type="dxa"/>
            <w:hideMark/>
          </w:tcPr>
          <w:p w14:paraId="50BB1167"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0</w:t>
            </w:r>
          </w:p>
        </w:tc>
        <w:tc>
          <w:tcPr>
            <w:tcW w:w="1471" w:type="dxa"/>
            <w:hideMark/>
          </w:tcPr>
          <w:p w14:paraId="339788FD"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0</w:t>
            </w:r>
          </w:p>
        </w:tc>
        <w:tc>
          <w:tcPr>
            <w:tcW w:w="1470" w:type="dxa"/>
            <w:hideMark/>
          </w:tcPr>
          <w:p w14:paraId="576F3351"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0</w:t>
            </w:r>
          </w:p>
        </w:tc>
        <w:tc>
          <w:tcPr>
            <w:tcW w:w="1470" w:type="dxa"/>
            <w:hideMark/>
          </w:tcPr>
          <w:p w14:paraId="6010895C" w14:textId="77777777" w:rsidR="007F25A1" w:rsidRPr="007F25A1" w:rsidRDefault="007F25A1" w:rsidP="007F25A1">
            <w:pPr>
              <w:pStyle w:val="Tabelid"/>
              <w:jc w:val="right"/>
              <w:cnfStyle w:val="000000000000" w:firstRow="0" w:lastRow="0" w:firstColumn="0" w:lastColumn="0" w:oddVBand="0" w:evenVBand="0" w:oddHBand="0" w:evenHBand="0" w:firstRowFirstColumn="0" w:firstRowLastColumn="0" w:lastRowFirstColumn="0" w:lastRowLastColumn="0"/>
              <w:rPr>
                <w:rFonts w:eastAsiaTheme="minorEastAsia"/>
                <w:i/>
                <w:szCs w:val="20"/>
              </w:rPr>
            </w:pPr>
            <w:r w:rsidRPr="007F25A1">
              <w:rPr>
                <w:rFonts w:eastAsiaTheme="minorEastAsia"/>
                <w:i/>
                <w:szCs w:val="20"/>
              </w:rPr>
              <w:t>0</w:t>
            </w:r>
          </w:p>
        </w:tc>
      </w:tr>
      <w:tr w:rsidR="007F25A1" w:rsidRPr="007F25A1" w14:paraId="42E68785" w14:textId="77777777" w:rsidTr="007F25A1">
        <w:trPr>
          <w:cnfStyle w:val="000000100000" w:firstRow="0" w:lastRow="0" w:firstColumn="0" w:lastColumn="0" w:oddVBand="0" w:evenVBand="0" w:oddHBand="1" w:evenHBand="0" w:firstRowFirstColumn="0" w:firstRowLastColumn="0" w:lastRowFirstColumn="0" w:lastRowLastColumn="0"/>
          <w:divId w:val="1881429677"/>
          <w:trHeight w:val="300"/>
        </w:trPr>
        <w:tc>
          <w:tcPr>
            <w:cnfStyle w:val="001000000000" w:firstRow="0" w:lastRow="0" w:firstColumn="1" w:lastColumn="0" w:oddVBand="0" w:evenVBand="0" w:oddHBand="0" w:evenHBand="0" w:firstRowFirstColumn="0" w:firstRowLastColumn="0" w:lastRowFirstColumn="0" w:lastRowLastColumn="0"/>
            <w:tcW w:w="2374" w:type="dxa"/>
            <w:noWrap/>
            <w:hideMark/>
          </w:tcPr>
          <w:p w14:paraId="41E2BAD4" w14:textId="77777777" w:rsidR="007F25A1" w:rsidRPr="007F25A1" w:rsidRDefault="007F25A1" w:rsidP="007F25A1">
            <w:pPr>
              <w:pStyle w:val="Tabelid"/>
              <w:rPr>
                <w:rFonts w:eastAsiaTheme="minorEastAsia"/>
                <w:bCs/>
                <w:i/>
                <w:szCs w:val="20"/>
              </w:rPr>
            </w:pPr>
            <w:proofErr w:type="spellStart"/>
            <w:r w:rsidRPr="007F25A1">
              <w:rPr>
                <w:rFonts w:eastAsiaTheme="minorEastAsia"/>
                <w:bCs/>
                <w:i/>
                <w:szCs w:val="20"/>
              </w:rPr>
              <w:t>Välisvõlg</w:t>
            </w:r>
            <w:proofErr w:type="spellEnd"/>
          </w:p>
        </w:tc>
        <w:tc>
          <w:tcPr>
            <w:tcW w:w="1455" w:type="dxa"/>
            <w:noWrap/>
            <w:hideMark/>
          </w:tcPr>
          <w:p w14:paraId="32263ECB"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0</w:t>
            </w:r>
          </w:p>
        </w:tc>
        <w:tc>
          <w:tcPr>
            <w:tcW w:w="1480" w:type="dxa"/>
            <w:noWrap/>
            <w:hideMark/>
          </w:tcPr>
          <w:p w14:paraId="0043BB2E"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0</w:t>
            </w:r>
          </w:p>
        </w:tc>
        <w:tc>
          <w:tcPr>
            <w:tcW w:w="1471" w:type="dxa"/>
            <w:noWrap/>
            <w:hideMark/>
          </w:tcPr>
          <w:p w14:paraId="4170877D"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0</w:t>
            </w:r>
          </w:p>
        </w:tc>
        <w:tc>
          <w:tcPr>
            <w:tcW w:w="1470" w:type="dxa"/>
            <w:noWrap/>
            <w:hideMark/>
          </w:tcPr>
          <w:p w14:paraId="150A8D99"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0</w:t>
            </w:r>
          </w:p>
        </w:tc>
        <w:tc>
          <w:tcPr>
            <w:tcW w:w="1470" w:type="dxa"/>
            <w:noWrap/>
            <w:hideMark/>
          </w:tcPr>
          <w:p w14:paraId="50E6D782" w14:textId="77777777" w:rsidR="007F25A1" w:rsidRPr="007F25A1" w:rsidRDefault="007F25A1" w:rsidP="007F25A1">
            <w:pPr>
              <w:pStyle w:val="Tabelid"/>
              <w:jc w:val="right"/>
              <w:cnfStyle w:val="000000100000" w:firstRow="0" w:lastRow="0" w:firstColumn="0" w:lastColumn="0" w:oddVBand="0" w:evenVBand="0" w:oddHBand="1" w:evenHBand="0" w:firstRowFirstColumn="0" w:firstRowLastColumn="0" w:lastRowFirstColumn="0" w:lastRowLastColumn="0"/>
              <w:rPr>
                <w:rFonts w:eastAsiaTheme="minorEastAsia"/>
                <w:i/>
                <w:szCs w:val="20"/>
              </w:rPr>
            </w:pPr>
            <w:r w:rsidRPr="007F25A1">
              <w:rPr>
                <w:rFonts w:eastAsiaTheme="minorEastAsia"/>
                <w:i/>
                <w:szCs w:val="20"/>
              </w:rPr>
              <w:t>0</w:t>
            </w:r>
          </w:p>
        </w:tc>
      </w:tr>
    </w:tbl>
    <w:p w14:paraId="0A6378E7" w14:textId="0B1849E8" w:rsidR="00766396" w:rsidRPr="00634914" w:rsidRDefault="00634914" w:rsidP="002406C2">
      <w:pPr>
        <w:pStyle w:val="Tabelid"/>
        <w:spacing w:line="240" w:lineRule="auto"/>
        <w:jc w:val="both"/>
        <w:rPr>
          <w:rStyle w:val="MrkusChar"/>
          <w:color w:val="auto"/>
        </w:rPr>
      </w:pPr>
      <w:r w:rsidRPr="00634914">
        <w:rPr>
          <w:rStyle w:val="MrkusChar"/>
          <w:color w:val="auto"/>
        </w:rPr>
        <w:fldChar w:fldCharType="end"/>
      </w:r>
    </w:p>
    <w:p w14:paraId="6A1D4D71" w14:textId="77777777" w:rsidR="00F4704F" w:rsidRPr="007A2CD1" w:rsidRDefault="00F4704F" w:rsidP="00F4704F">
      <w:pPr>
        <w:spacing w:after="0"/>
        <w:jc w:val="both"/>
        <w:rPr>
          <w:rStyle w:val="MrkusChar"/>
          <w:rFonts w:asciiTheme="minorHAnsi" w:hAnsiTheme="minorHAnsi" w:cstheme="minorHAnsi"/>
        </w:rPr>
      </w:pPr>
      <w:r w:rsidRPr="00766396">
        <w:rPr>
          <w:rStyle w:val="MrkusChar"/>
          <w:rFonts w:asciiTheme="minorHAnsi" w:hAnsiTheme="minorHAnsi" w:cstheme="minorHAnsi"/>
          <w:vertAlign w:val="superscript"/>
        </w:rPr>
        <w:footnoteReference w:customMarkFollows="1" w:id="2"/>
        <w:t>[1]</w:t>
      </w:r>
      <w:r w:rsidRPr="00766396">
        <w:rPr>
          <w:rStyle w:val="MrkusChar"/>
          <w:rFonts w:asciiTheme="minorHAnsi" w:hAnsiTheme="minorHAnsi" w:cstheme="minorHAnsi"/>
        </w:rPr>
        <w:t xml:space="preserve"> Keskvalitsuse tasemel konsolideeritud number.</w:t>
      </w:r>
    </w:p>
    <w:p w14:paraId="0AFE2DA9" w14:textId="77777777" w:rsidR="00831AD9" w:rsidRPr="005822EA" w:rsidRDefault="00831AD9" w:rsidP="00831AD9">
      <w:pPr>
        <w:pStyle w:val="Mrkus"/>
        <w:jc w:val="both"/>
      </w:pPr>
      <w:r w:rsidRPr="007A2CD1">
        <w:t>Allikas: Rahandusministeerium, Eesti Statistikaamet.</w:t>
      </w:r>
    </w:p>
    <w:p w14:paraId="542A5B4C" w14:textId="68A5A9E7" w:rsidR="00831AD9" w:rsidRDefault="00831AD9" w:rsidP="00831AD9">
      <w:pPr>
        <w:jc w:val="both"/>
        <w:rPr>
          <w:highlight w:val="yellow"/>
        </w:rPr>
      </w:pPr>
    </w:p>
    <w:p w14:paraId="22CF63E3" w14:textId="1FB6C55D" w:rsidR="00201039" w:rsidRDefault="00201039" w:rsidP="00201039">
      <w:pPr>
        <w:pStyle w:val="Pealdis"/>
        <w:jc w:val="both"/>
      </w:pPr>
      <w:bookmarkStart w:id="214" w:name="_Ref100182185"/>
      <w:bookmarkStart w:id="215" w:name="_Toc100230302"/>
      <w:r>
        <w:t xml:space="preserve">Tabel </w:t>
      </w:r>
      <w:fldSimple w:instr=" SEQ Tabel \* ARABIC ">
        <w:r w:rsidR="000C04EE">
          <w:rPr>
            <w:noProof/>
          </w:rPr>
          <w:t>17</w:t>
        </w:r>
      </w:fldSimple>
      <w:bookmarkEnd w:id="214"/>
      <w:r>
        <w:t>. Valitsussektori võlakoormus 2019–2026 (mln eurot, % SKPst)</w:t>
      </w:r>
      <w:bookmarkEnd w:id="215"/>
      <w:r>
        <w:fldChar w:fldCharType="begin"/>
      </w:r>
      <w:r>
        <w:instrText xml:space="preserve"> LINK </w:instrText>
      </w:r>
      <w:r w:rsidR="003C7472">
        <w:instrText xml:space="preserve">Excel.Sheet.12 "\\\\riik.sise\\yld\\ram$\\FPO\\14. PROGNOOSID\\2022 kevad\\Seletuskiri\\Tabelid ja joonised Kevad 2022_rahandus.xlsx" Tabelid!R106C2:R116C10 </w:instrText>
      </w:r>
      <w:r>
        <w:instrText xml:space="preserve">\a \f 5 \h  \* MERGEFORMAT </w:instrText>
      </w:r>
      <w:r>
        <w:fldChar w:fldCharType="separate"/>
      </w:r>
    </w:p>
    <w:tbl>
      <w:tblPr>
        <w:tblStyle w:val="Peentabel1"/>
        <w:tblW w:w="10044" w:type="dxa"/>
        <w:tblLook w:val="04A0" w:firstRow="1" w:lastRow="0" w:firstColumn="1" w:lastColumn="0" w:noHBand="0" w:noVBand="1"/>
      </w:tblPr>
      <w:tblGrid>
        <w:gridCol w:w="1747"/>
        <w:gridCol w:w="1077"/>
        <w:gridCol w:w="1122"/>
        <w:gridCol w:w="1122"/>
        <w:gridCol w:w="1122"/>
        <w:gridCol w:w="1122"/>
        <w:gridCol w:w="1122"/>
        <w:gridCol w:w="805"/>
        <w:gridCol w:w="805"/>
      </w:tblGrid>
      <w:tr w:rsidR="00201039" w:rsidRPr="007F25A1" w14:paraId="6A5348BA" w14:textId="77777777" w:rsidTr="002D044B">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47" w:type="dxa"/>
            <w:hideMark/>
          </w:tcPr>
          <w:p w14:paraId="0937B876" w14:textId="77777777" w:rsidR="00201039" w:rsidRPr="007F25A1" w:rsidRDefault="00201039" w:rsidP="002D044B">
            <w:pPr>
              <w:spacing w:after="0"/>
              <w:rPr>
                <w:bCs/>
                <w:sz w:val="20"/>
                <w:szCs w:val="20"/>
              </w:rPr>
            </w:pPr>
            <w:r w:rsidRPr="007F25A1">
              <w:rPr>
                <w:bCs/>
                <w:sz w:val="20"/>
                <w:szCs w:val="20"/>
              </w:rPr>
              <w:t> </w:t>
            </w:r>
          </w:p>
        </w:tc>
        <w:tc>
          <w:tcPr>
            <w:tcW w:w="1077" w:type="dxa"/>
            <w:noWrap/>
            <w:hideMark/>
          </w:tcPr>
          <w:p w14:paraId="39AC34CD" w14:textId="77777777" w:rsidR="00201039" w:rsidRPr="007F25A1" w:rsidRDefault="00201039" w:rsidP="002D044B">
            <w:pPr>
              <w:spacing w:after="0"/>
              <w:jc w:val="left"/>
              <w:cnfStyle w:val="100000000000" w:firstRow="1" w:lastRow="0" w:firstColumn="0" w:lastColumn="0" w:oddVBand="0" w:evenVBand="0" w:oddHBand="0" w:evenHBand="0" w:firstRowFirstColumn="0" w:firstRowLastColumn="0" w:lastRowFirstColumn="0" w:lastRowLastColumn="0"/>
              <w:rPr>
                <w:bCs/>
                <w:sz w:val="20"/>
                <w:szCs w:val="20"/>
              </w:rPr>
            </w:pPr>
            <w:r w:rsidRPr="007F25A1">
              <w:rPr>
                <w:bCs/>
                <w:sz w:val="20"/>
                <w:szCs w:val="20"/>
              </w:rPr>
              <w:t>2019</w:t>
            </w:r>
          </w:p>
        </w:tc>
        <w:tc>
          <w:tcPr>
            <w:tcW w:w="1122" w:type="dxa"/>
            <w:noWrap/>
            <w:hideMark/>
          </w:tcPr>
          <w:p w14:paraId="1E725D37" w14:textId="77777777" w:rsidR="00201039" w:rsidRPr="007F25A1" w:rsidRDefault="00201039" w:rsidP="002D044B">
            <w:pPr>
              <w:spacing w:after="0"/>
              <w:jc w:val="left"/>
              <w:cnfStyle w:val="100000000000" w:firstRow="1" w:lastRow="0" w:firstColumn="0" w:lastColumn="0" w:oddVBand="0" w:evenVBand="0" w:oddHBand="0" w:evenHBand="0" w:firstRowFirstColumn="0" w:firstRowLastColumn="0" w:lastRowFirstColumn="0" w:lastRowLastColumn="0"/>
              <w:rPr>
                <w:bCs/>
                <w:sz w:val="20"/>
                <w:szCs w:val="20"/>
              </w:rPr>
            </w:pPr>
            <w:r w:rsidRPr="007F25A1">
              <w:rPr>
                <w:bCs/>
                <w:sz w:val="20"/>
                <w:szCs w:val="20"/>
              </w:rPr>
              <w:t>2020</w:t>
            </w:r>
          </w:p>
        </w:tc>
        <w:tc>
          <w:tcPr>
            <w:tcW w:w="1122" w:type="dxa"/>
            <w:noWrap/>
            <w:hideMark/>
          </w:tcPr>
          <w:p w14:paraId="246EB80F" w14:textId="77777777" w:rsidR="00201039" w:rsidRPr="007F25A1" w:rsidRDefault="00201039" w:rsidP="002D044B">
            <w:pPr>
              <w:spacing w:after="0"/>
              <w:jc w:val="left"/>
              <w:cnfStyle w:val="100000000000" w:firstRow="1" w:lastRow="0" w:firstColumn="0" w:lastColumn="0" w:oddVBand="0" w:evenVBand="0" w:oddHBand="0" w:evenHBand="0" w:firstRowFirstColumn="0" w:firstRowLastColumn="0" w:lastRowFirstColumn="0" w:lastRowLastColumn="0"/>
              <w:rPr>
                <w:bCs/>
                <w:sz w:val="20"/>
                <w:szCs w:val="20"/>
              </w:rPr>
            </w:pPr>
            <w:r w:rsidRPr="007F25A1">
              <w:rPr>
                <w:bCs/>
                <w:sz w:val="20"/>
                <w:szCs w:val="20"/>
              </w:rPr>
              <w:t>2021</w:t>
            </w:r>
          </w:p>
        </w:tc>
        <w:tc>
          <w:tcPr>
            <w:tcW w:w="1122" w:type="dxa"/>
            <w:noWrap/>
            <w:hideMark/>
          </w:tcPr>
          <w:p w14:paraId="4697F050" w14:textId="77777777" w:rsidR="00201039" w:rsidRPr="007F25A1" w:rsidRDefault="00201039" w:rsidP="002D044B">
            <w:pPr>
              <w:spacing w:after="0"/>
              <w:jc w:val="left"/>
              <w:cnfStyle w:val="100000000000" w:firstRow="1" w:lastRow="0" w:firstColumn="0" w:lastColumn="0" w:oddVBand="0" w:evenVBand="0" w:oddHBand="0" w:evenHBand="0" w:firstRowFirstColumn="0" w:firstRowLastColumn="0" w:lastRowFirstColumn="0" w:lastRowLastColumn="0"/>
              <w:rPr>
                <w:bCs/>
                <w:sz w:val="20"/>
                <w:szCs w:val="20"/>
              </w:rPr>
            </w:pPr>
            <w:r w:rsidRPr="007F25A1">
              <w:rPr>
                <w:bCs/>
                <w:sz w:val="20"/>
                <w:szCs w:val="20"/>
              </w:rPr>
              <w:t>2022</w:t>
            </w:r>
          </w:p>
        </w:tc>
        <w:tc>
          <w:tcPr>
            <w:tcW w:w="1122" w:type="dxa"/>
            <w:noWrap/>
            <w:hideMark/>
          </w:tcPr>
          <w:p w14:paraId="4DEB173C" w14:textId="77777777" w:rsidR="00201039" w:rsidRPr="007F25A1" w:rsidRDefault="00201039" w:rsidP="002D044B">
            <w:pPr>
              <w:spacing w:after="0"/>
              <w:jc w:val="left"/>
              <w:cnfStyle w:val="100000000000" w:firstRow="1" w:lastRow="0" w:firstColumn="0" w:lastColumn="0" w:oddVBand="0" w:evenVBand="0" w:oddHBand="0" w:evenHBand="0" w:firstRowFirstColumn="0" w:firstRowLastColumn="0" w:lastRowFirstColumn="0" w:lastRowLastColumn="0"/>
              <w:rPr>
                <w:bCs/>
                <w:sz w:val="20"/>
                <w:szCs w:val="20"/>
              </w:rPr>
            </w:pPr>
            <w:r w:rsidRPr="007F25A1">
              <w:rPr>
                <w:bCs/>
                <w:sz w:val="20"/>
                <w:szCs w:val="20"/>
              </w:rPr>
              <w:t>2023</w:t>
            </w:r>
          </w:p>
        </w:tc>
        <w:tc>
          <w:tcPr>
            <w:tcW w:w="1122" w:type="dxa"/>
            <w:noWrap/>
            <w:hideMark/>
          </w:tcPr>
          <w:p w14:paraId="4EE74165" w14:textId="77777777" w:rsidR="00201039" w:rsidRPr="007F25A1" w:rsidRDefault="00201039" w:rsidP="002D044B">
            <w:pPr>
              <w:spacing w:after="0"/>
              <w:jc w:val="left"/>
              <w:cnfStyle w:val="100000000000" w:firstRow="1" w:lastRow="0" w:firstColumn="0" w:lastColumn="0" w:oddVBand="0" w:evenVBand="0" w:oddHBand="0" w:evenHBand="0" w:firstRowFirstColumn="0" w:firstRowLastColumn="0" w:lastRowFirstColumn="0" w:lastRowLastColumn="0"/>
              <w:rPr>
                <w:bCs/>
                <w:sz w:val="20"/>
                <w:szCs w:val="20"/>
              </w:rPr>
            </w:pPr>
            <w:r w:rsidRPr="007F25A1">
              <w:rPr>
                <w:bCs/>
                <w:sz w:val="20"/>
                <w:szCs w:val="20"/>
              </w:rPr>
              <w:t>2024</w:t>
            </w:r>
          </w:p>
        </w:tc>
        <w:tc>
          <w:tcPr>
            <w:tcW w:w="805" w:type="dxa"/>
            <w:noWrap/>
            <w:hideMark/>
          </w:tcPr>
          <w:p w14:paraId="18C4AF6A" w14:textId="77777777" w:rsidR="00201039" w:rsidRPr="007F25A1" w:rsidRDefault="00201039" w:rsidP="002D044B">
            <w:pPr>
              <w:spacing w:after="0"/>
              <w:jc w:val="left"/>
              <w:cnfStyle w:val="100000000000" w:firstRow="1" w:lastRow="0" w:firstColumn="0" w:lastColumn="0" w:oddVBand="0" w:evenVBand="0" w:oddHBand="0" w:evenHBand="0" w:firstRowFirstColumn="0" w:firstRowLastColumn="0" w:lastRowFirstColumn="0" w:lastRowLastColumn="0"/>
              <w:rPr>
                <w:bCs/>
                <w:sz w:val="20"/>
                <w:szCs w:val="20"/>
              </w:rPr>
            </w:pPr>
            <w:r w:rsidRPr="007F25A1">
              <w:rPr>
                <w:bCs/>
                <w:sz w:val="20"/>
                <w:szCs w:val="20"/>
              </w:rPr>
              <w:t>2025</w:t>
            </w:r>
          </w:p>
        </w:tc>
        <w:tc>
          <w:tcPr>
            <w:tcW w:w="805" w:type="dxa"/>
            <w:noWrap/>
            <w:hideMark/>
          </w:tcPr>
          <w:p w14:paraId="4C8A2251" w14:textId="77777777" w:rsidR="00201039" w:rsidRPr="007F25A1" w:rsidRDefault="00201039" w:rsidP="002D044B">
            <w:pPr>
              <w:spacing w:after="0"/>
              <w:jc w:val="left"/>
              <w:cnfStyle w:val="100000000000" w:firstRow="1" w:lastRow="0" w:firstColumn="0" w:lastColumn="0" w:oddVBand="0" w:evenVBand="0" w:oddHBand="0" w:evenHBand="0" w:firstRowFirstColumn="0" w:firstRowLastColumn="0" w:lastRowFirstColumn="0" w:lastRowLastColumn="0"/>
              <w:rPr>
                <w:bCs/>
                <w:sz w:val="20"/>
                <w:szCs w:val="20"/>
              </w:rPr>
            </w:pPr>
            <w:r w:rsidRPr="007F25A1">
              <w:rPr>
                <w:bCs/>
                <w:sz w:val="20"/>
                <w:szCs w:val="20"/>
              </w:rPr>
              <w:t>2026</w:t>
            </w:r>
          </w:p>
        </w:tc>
      </w:tr>
      <w:tr w:rsidR="00201039" w:rsidRPr="007F25A1" w14:paraId="4C210E68" w14:textId="77777777" w:rsidTr="002D044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47" w:type="dxa"/>
            <w:hideMark/>
          </w:tcPr>
          <w:p w14:paraId="1819F678" w14:textId="77777777" w:rsidR="00201039" w:rsidRPr="007F25A1" w:rsidRDefault="00201039" w:rsidP="002D044B">
            <w:pPr>
              <w:spacing w:after="0"/>
              <w:jc w:val="left"/>
              <w:rPr>
                <w:bCs/>
                <w:sz w:val="20"/>
                <w:szCs w:val="20"/>
              </w:rPr>
            </w:pPr>
            <w:r w:rsidRPr="007F25A1">
              <w:rPr>
                <w:bCs/>
                <w:sz w:val="20"/>
                <w:szCs w:val="20"/>
              </w:rPr>
              <w:t>Võlg kokku (mln eurot)</w:t>
            </w:r>
          </w:p>
        </w:tc>
        <w:tc>
          <w:tcPr>
            <w:tcW w:w="1077" w:type="dxa"/>
            <w:hideMark/>
          </w:tcPr>
          <w:p w14:paraId="3711067A"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7F25A1">
              <w:rPr>
                <w:b/>
                <w:bCs/>
                <w:sz w:val="20"/>
                <w:szCs w:val="20"/>
              </w:rPr>
              <w:t>2 373</w:t>
            </w:r>
          </w:p>
        </w:tc>
        <w:tc>
          <w:tcPr>
            <w:tcW w:w="1122" w:type="dxa"/>
            <w:hideMark/>
          </w:tcPr>
          <w:p w14:paraId="23324898"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7F25A1">
              <w:rPr>
                <w:b/>
                <w:bCs/>
                <w:sz w:val="20"/>
                <w:szCs w:val="20"/>
              </w:rPr>
              <w:t>5 098</w:t>
            </w:r>
          </w:p>
        </w:tc>
        <w:tc>
          <w:tcPr>
            <w:tcW w:w="1122" w:type="dxa"/>
            <w:hideMark/>
          </w:tcPr>
          <w:p w14:paraId="5B17B3A1"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7F25A1">
              <w:rPr>
                <w:b/>
                <w:bCs/>
                <w:sz w:val="20"/>
                <w:szCs w:val="20"/>
              </w:rPr>
              <w:t>5 535</w:t>
            </w:r>
          </w:p>
        </w:tc>
        <w:tc>
          <w:tcPr>
            <w:tcW w:w="1122" w:type="dxa"/>
            <w:hideMark/>
          </w:tcPr>
          <w:p w14:paraId="3752FB1C"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7F25A1">
              <w:rPr>
                <w:b/>
                <w:bCs/>
                <w:sz w:val="20"/>
                <w:szCs w:val="20"/>
              </w:rPr>
              <w:t>6 294</w:t>
            </w:r>
          </w:p>
        </w:tc>
        <w:tc>
          <w:tcPr>
            <w:tcW w:w="1122" w:type="dxa"/>
            <w:hideMark/>
          </w:tcPr>
          <w:p w14:paraId="05782FED"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7F25A1">
              <w:rPr>
                <w:b/>
                <w:bCs/>
                <w:sz w:val="20"/>
                <w:szCs w:val="20"/>
              </w:rPr>
              <w:t>7 325</w:t>
            </w:r>
          </w:p>
        </w:tc>
        <w:tc>
          <w:tcPr>
            <w:tcW w:w="1122" w:type="dxa"/>
            <w:hideMark/>
          </w:tcPr>
          <w:p w14:paraId="6ED346E6"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7F25A1">
              <w:rPr>
                <w:b/>
                <w:bCs/>
                <w:sz w:val="20"/>
                <w:szCs w:val="20"/>
              </w:rPr>
              <w:t>8 935</w:t>
            </w:r>
          </w:p>
        </w:tc>
        <w:tc>
          <w:tcPr>
            <w:tcW w:w="805" w:type="dxa"/>
            <w:hideMark/>
          </w:tcPr>
          <w:p w14:paraId="3A53E169"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7F25A1">
              <w:rPr>
                <w:b/>
                <w:bCs/>
                <w:sz w:val="20"/>
                <w:szCs w:val="20"/>
              </w:rPr>
              <w:t>9 898</w:t>
            </w:r>
          </w:p>
        </w:tc>
        <w:tc>
          <w:tcPr>
            <w:tcW w:w="805" w:type="dxa"/>
            <w:hideMark/>
          </w:tcPr>
          <w:p w14:paraId="3EFB5CBA"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7F25A1">
              <w:rPr>
                <w:b/>
                <w:bCs/>
                <w:sz w:val="20"/>
                <w:szCs w:val="20"/>
              </w:rPr>
              <w:t>10 629</w:t>
            </w:r>
          </w:p>
        </w:tc>
      </w:tr>
      <w:tr w:rsidR="00201039" w:rsidRPr="007F25A1" w14:paraId="561B316C" w14:textId="77777777" w:rsidTr="002D044B">
        <w:trPr>
          <w:trHeight w:val="240"/>
        </w:trPr>
        <w:tc>
          <w:tcPr>
            <w:cnfStyle w:val="001000000000" w:firstRow="0" w:lastRow="0" w:firstColumn="1" w:lastColumn="0" w:oddVBand="0" w:evenVBand="0" w:oddHBand="0" w:evenHBand="0" w:firstRowFirstColumn="0" w:firstRowLastColumn="0" w:lastRowFirstColumn="0" w:lastRowLastColumn="0"/>
            <w:tcW w:w="1747" w:type="dxa"/>
            <w:hideMark/>
          </w:tcPr>
          <w:p w14:paraId="2B328685" w14:textId="77777777" w:rsidR="00201039" w:rsidRPr="007F25A1" w:rsidRDefault="00201039" w:rsidP="002D044B">
            <w:pPr>
              <w:spacing w:after="0"/>
              <w:jc w:val="left"/>
              <w:rPr>
                <w:b w:val="0"/>
                <w:sz w:val="20"/>
                <w:szCs w:val="20"/>
              </w:rPr>
            </w:pPr>
            <w:r w:rsidRPr="007F25A1">
              <w:rPr>
                <w:b w:val="0"/>
                <w:sz w:val="20"/>
                <w:szCs w:val="20"/>
              </w:rPr>
              <w:t>sh keskvalitsuse panus</w:t>
            </w:r>
          </w:p>
        </w:tc>
        <w:tc>
          <w:tcPr>
            <w:tcW w:w="1077" w:type="dxa"/>
            <w:hideMark/>
          </w:tcPr>
          <w:p w14:paraId="4C5F74E2"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1 619</w:t>
            </w:r>
          </w:p>
        </w:tc>
        <w:tc>
          <w:tcPr>
            <w:tcW w:w="1122" w:type="dxa"/>
            <w:hideMark/>
          </w:tcPr>
          <w:p w14:paraId="0513D068"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4 220</w:t>
            </w:r>
          </w:p>
        </w:tc>
        <w:tc>
          <w:tcPr>
            <w:tcW w:w="1122" w:type="dxa"/>
            <w:hideMark/>
          </w:tcPr>
          <w:p w14:paraId="642ED223"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4 627</w:t>
            </w:r>
          </w:p>
        </w:tc>
        <w:tc>
          <w:tcPr>
            <w:tcW w:w="1122" w:type="dxa"/>
            <w:hideMark/>
          </w:tcPr>
          <w:p w14:paraId="734076EE"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5 303</w:t>
            </w:r>
          </w:p>
        </w:tc>
        <w:tc>
          <w:tcPr>
            <w:tcW w:w="1122" w:type="dxa"/>
            <w:hideMark/>
          </w:tcPr>
          <w:p w14:paraId="0B1F9016"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6 237</w:t>
            </w:r>
          </w:p>
        </w:tc>
        <w:tc>
          <w:tcPr>
            <w:tcW w:w="1122" w:type="dxa"/>
            <w:hideMark/>
          </w:tcPr>
          <w:p w14:paraId="54E746C6"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7 762</w:t>
            </w:r>
          </w:p>
        </w:tc>
        <w:tc>
          <w:tcPr>
            <w:tcW w:w="805" w:type="dxa"/>
            <w:hideMark/>
          </w:tcPr>
          <w:p w14:paraId="47930F44"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8 618</w:t>
            </w:r>
          </w:p>
        </w:tc>
        <w:tc>
          <w:tcPr>
            <w:tcW w:w="805" w:type="dxa"/>
            <w:hideMark/>
          </w:tcPr>
          <w:p w14:paraId="6FBD8EC6"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9 311</w:t>
            </w:r>
          </w:p>
        </w:tc>
      </w:tr>
      <w:tr w:rsidR="00201039" w:rsidRPr="007F25A1" w14:paraId="5DF57561" w14:textId="77777777" w:rsidTr="002D044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47" w:type="dxa"/>
            <w:hideMark/>
          </w:tcPr>
          <w:p w14:paraId="6C43E0DC" w14:textId="77777777" w:rsidR="00201039" w:rsidRPr="007F25A1" w:rsidRDefault="00201039" w:rsidP="002D044B">
            <w:pPr>
              <w:spacing w:after="0"/>
              <w:jc w:val="left"/>
              <w:rPr>
                <w:b w:val="0"/>
                <w:sz w:val="20"/>
                <w:szCs w:val="20"/>
              </w:rPr>
            </w:pPr>
            <w:r w:rsidRPr="007F25A1">
              <w:rPr>
                <w:sz w:val="20"/>
                <w:szCs w:val="20"/>
              </w:rPr>
              <w:t xml:space="preserve">    </w:t>
            </w:r>
            <w:proofErr w:type="spellStart"/>
            <w:r w:rsidRPr="007F25A1">
              <w:rPr>
                <w:b w:val="0"/>
                <w:sz w:val="20"/>
                <w:szCs w:val="20"/>
              </w:rPr>
              <w:t>EFSFi</w:t>
            </w:r>
            <w:proofErr w:type="spellEnd"/>
            <w:r w:rsidRPr="007F25A1">
              <w:rPr>
                <w:b w:val="0"/>
                <w:sz w:val="20"/>
                <w:szCs w:val="20"/>
              </w:rPr>
              <w:t xml:space="preserve"> mõju</w:t>
            </w:r>
          </w:p>
        </w:tc>
        <w:tc>
          <w:tcPr>
            <w:tcW w:w="1077" w:type="dxa"/>
            <w:hideMark/>
          </w:tcPr>
          <w:p w14:paraId="031655F5"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483</w:t>
            </w:r>
          </w:p>
        </w:tc>
        <w:tc>
          <w:tcPr>
            <w:tcW w:w="1122" w:type="dxa"/>
            <w:hideMark/>
          </w:tcPr>
          <w:p w14:paraId="0AEC3933"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486</w:t>
            </w:r>
          </w:p>
        </w:tc>
        <w:tc>
          <w:tcPr>
            <w:tcW w:w="1122" w:type="dxa"/>
            <w:hideMark/>
          </w:tcPr>
          <w:p w14:paraId="235B1EEA"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491</w:t>
            </w:r>
          </w:p>
        </w:tc>
        <w:tc>
          <w:tcPr>
            <w:tcW w:w="1122" w:type="dxa"/>
            <w:hideMark/>
          </w:tcPr>
          <w:p w14:paraId="79BDC91E"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491</w:t>
            </w:r>
          </w:p>
        </w:tc>
        <w:tc>
          <w:tcPr>
            <w:tcW w:w="1122" w:type="dxa"/>
            <w:hideMark/>
          </w:tcPr>
          <w:p w14:paraId="00D977DB"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437</w:t>
            </w:r>
          </w:p>
        </w:tc>
        <w:tc>
          <w:tcPr>
            <w:tcW w:w="1122" w:type="dxa"/>
            <w:hideMark/>
          </w:tcPr>
          <w:p w14:paraId="31D7B04D"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423</w:t>
            </w:r>
          </w:p>
        </w:tc>
        <w:tc>
          <w:tcPr>
            <w:tcW w:w="805" w:type="dxa"/>
            <w:hideMark/>
          </w:tcPr>
          <w:p w14:paraId="3A93461A"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408</w:t>
            </w:r>
          </w:p>
        </w:tc>
        <w:tc>
          <w:tcPr>
            <w:tcW w:w="805" w:type="dxa"/>
            <w:hideMark/>
          </w:tcPr>
          <w:p w14:paraId="3EF52767"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408</w:t>
            </w:r>
          </w:p>
        </w:tc>
      </w:tr>
      <w:tr w:rsidR="00201039" w:rsidRPr="007F25A1" w14:paraId="5323410A" w14:textId="77777777" w:rsidTr="002D044B">
        <w:trPr>
          <w:trHeight w:val="240"/>
        </w:trPr>
        <w:tc>
          <w:tcPr>
            <w:cnfStyle w:val="001000000000" w:firstRow="0" w:lastRow="0" w:firstColumn="1" w:lastColumn="0" w:oddVBand="0" w:evenVBand="0" w:oddHBand="0" w:evenHBand="0" w:firstRowFirstColumn="0" w:firstRowLastColumn="0" w:lastRowFirstColumn="0" w:lastRowLastColumn="0"/>
            <w:tcW w:w="1747" w:type="dxa"/>
            <w:hideMark/>
          </w:tcPr>
          <w:p w14:paraId="2CA4F7B6" w14:textId="77777777" w:rsidR="00201039" w:rsidRPr="007F25A1" w:rsidRDefault="00201039" w:rsidP="002D044B">
            <w:pPr>
              <w:spacing w:after="0"/>
              <w:jc w:val="left"/>
              <w:rPr>
                <w:b w:val="0"/>
                <w:sz w:val="20"/>
                <w:szCs w:val="20"/>
              </w:rPr>
            </w:pPr>
            <w:r w:rsidRPr="007F25A1">
              <w:rPr>
                <w:sz w:val="20"/>
                <w:szCs w:val="20"/>
              </w:rPr>
              <w:t xml:space="preserve"> </w:t>
            </w:r>
            <w:r w:rsidRPr="007F25A1">
              <w:rPr>
                <w:b w:val="0"/>
                <w:sz w:val="20"/>
                <w:szCs w:val="20"/>
              </w:rPr>
              <w:t>keskvalitsus ilma EFSF-ta</w:t>
            </w:r>
          </w:p>
        </w:tc>
        <w:tc>
          <w:tcPr>
            <w:tcW w:w="1077" w:type="dxa"/>
            <w:hideMark/>
          </w:tcPr>
          <w:p w14:paraId="4FBFC30E"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1 136</w:t>
            </w:r>
          </w:p>
        </w:tc>
        <w:tc>
          <w:tcPr>
            <w:tcW w:w="1122" w:type="dxa"/>
            <w:hideMark/>
          </w:tcPr>
          <w:p w14:paraId="0AAAC3EF"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3 734</w:t>
            </w:r>
          </w:p>
        </w:tc>
        <w:tc>
          <w:tcPr>
            <w:tcW w:w="1122" w:type="dxa"/>
            <w:hideMark/>
          </w:tcPr>
          <w:p w14:paraId="542B651D"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4 135</w:t>
            </w:r>
          </w:p>
        </w:tc>
        <w:tc>
          <w:tcPr>
            <w:tcW w:w="1122" w:type="dxa"/>
            <w:hideMark/>
          </w:tcPr>
          <w:p w14:paraId="1FD2F9B5"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4 811</w:t>
            </w:r>
          </w:p>
        </w:tc>
        <w:tc>
          <w:tcPr>
            <w:tcW w:w="1122" w:type="dxa"/>
            <w:hideMark/>
          </w:tcPr>
          <w:p w14:paraId="7BC24501"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5 800</w:t>
            </w:r>
          </w:p>
        </w:tc>
        <w:tc>
          <w:tcPr>
            <w:tcW w:w="1122" w:type="dxa"/>
            <w:hideMark/>
          </w:tcPr>
          <w:p w14:paraId="66DE36AA"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7 339</w:t>
            </w:r>
          </w:p>
        </w:tc>
        <w:tc>
          <w:tcPr>
            <w:tcW w:w="805" w:type="dxa"/>
            <w:hideMark/>
          </w:tcPr>
          <w:p w14:paraId="75E408F9"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8 210</w:t>
            </w:r>
          </w:p>
        </w:tc>
        <w:tc>
          <w:tcPr>
            <w:tcW w:w="805" w:type="dxa"/>
            <w:hideMark/>
          </w:tcPr>
          <w:p w14:paraId="483923E7"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8 903</w:t>
            </w:r>
          </w:p>
        </w:tc>
      </w:tr>
      <w:tr w:rsidR="00201039" w:rsidRPr="007F25A1" w14:paraId="299473E8" w14:textId="77777777" w:rsidTr="002D044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47" w:type="dxa"/>
            <w:hideMark/>
          </w:tcPr>
          <w:p w14:paraId="0A82FA99" w14:textId="77777777" w:rsidR="00201039" w:rsidRPr="007F25A1" w:rsidRDefault="00201039" w:rsidP="002D044B">
            <w:pPr>
              <w:spacing w:after="0"/>
              <w:jc w:val="left"/>
              <w:rPr>
                <w:b w:val="0"/>
                <w:sz w:val="20"/>
                <w:szCs w:val="20"/>
              </w:rPr>
            </w:pPr>
            <w:r w:rsidRPr="007F25A1">
              <w:rPr>
                <w:sz w:val="20"/>
                <w:szCs w:val="20"/>
              </w:rPr>
              <w:t xml:space="preserve"> </w:t>
            </w:r>
            <w:r w:rsidRPr="007F25A1">
              <w:rPr>
                <w:b w:val="0"/>
                <w:sz w:val="20"/>
                <w:szCs w:val="20"/>
              </w:rPr>
              <w:t>kohalikud omavalitsused</w:t>
            </w:r>
          </w:p>
        </w:tc>
        <w:tc>
          <w:tcPr>
            <w:tcW w:w="1077" w:type="dxa"/>
            <w:hideMark/>
          </w:tcPr>
          <w:p w14:paraId="5DD46A84"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755</w:t>
            </w:r>
          </w:p>
        </w:tc>
        <w:tc>
          <w:tcPr>
            <w:tcW w:w="1122" w:type="dxa"/>
            <w:hideMark/>
          </w:tcPr>
          <w:p w14:paraId="390726DD"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754</w:t>
            </w:r>
          </w:p>
        </w:tc>
        <w:tc>
          <w:tcPr>
            <w:tcW w:w="1122" w:type="dxa"/>
            <w:hideMark/>
          </w:tcPr>
          <w:p w14:paraId="626ACF1D"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877</w:t>
            </w:r>
          </w:p>
        </w:tc>
        <w:tc>
          <w:tcPr>
            <w:tcW w:w="1122" w:type="dxa"/>
            <w:hideMark/>
          </w:tcPr>
          <w:p w14:paraId="36987BC7"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878</w:t>
            </w:r>
          </w:p>
        </w:tc>
        <w:tc>
          <w:tcPr>
            <w:tcW w:w="1122" w:type="dxa"/>
            <w:hideMark/>
          </w:tcPr>
          <w:p w14:paraId="12D15EE2"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910</w:t>
            </w:r>
          </w:p>
        </w:tc>
        <w:tc>
          <w:tcPr>
            <w:tcW w:w="1122" w:type="dxa"/>
            <w:hideMark/>
          </w:tcPr>
          <w:p w14:paraId="0531B290"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939</w:t>
            </w:r>
          </w:p>
        </w:tc>
        <w:tc>
          <w:tcPr>
            <w:tcW w:w="805" w:type="dxa"/>
            <w:hideMark/>
          </w:tcPr>
          <w:p w14:paraId="5E9BE31A"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975</w:t>
            </w:r>
          </w:p>
        </w:tc>
        <w:tc>
          <w:tcPr>
            <w:tcW w:w="805" w:type="dxa"/>
            <w:hideMark/>
          </w:tcPr>
          <w:p w14:paraId="1D643D68"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1042</w:t>
            </w:r>
          </w:p>
        </w:tc>
      </w:tr>
      <w:tr w:rsidR="00201039" w:rsidRPr="007F25A1" w14:paraId="3694740B" w14:textId="77777777" w:rsidTr="002D044B">
        <w:trPr>
          <w:trHeight w:val="240"/>
        </w:trPr>
        <w:tc>
          <w:tcPr>
            <w:cnfStyle w:val="001000000000" w:firstRow="0" w:lastRow="0" w:firstColumn="1" w:lastColumn="0" w:oddVBand="0" w:evenVBand="0" w:oddHBand="0" w:evenHBand="0" w:firstRowFirstColumn="0" w:firstRowLastColumn="0" w:lastRowFirstColumn="0" w:lastRowLastColumn="0"/>
            <w:tcW w:w="1747" w:type="dxa"/>
            <w:hideMark/>
          </w:tcPr>
          <w:p w14:paraId="3F2F5CCE" w14:textId="77777777" w:rsidR="00201039" w:rsidRPr="007F25A1" w:rsidRDefault="00201039" w:rsidP="002D044B">
            <w:pPr>
              <w:spacing w:after="0"/>
              <w:jc w:val="left"/>
              <w:rPr>
                <w:bCs/>
                <w:sz w:val="20"/>
                <w:szCs w:val="20"/>
              </w:rPr>
            </w:pPr>
            <w:r w:rsidRPr="007F25A1">
              <w:rPr>
                <w:bCs/>
                <w:sz w:val="20"/>
                <w:szCs w:val="20"/>
              </w:rPr>
              <w:t>Võlg kokku (% SKPst)</w:t>
            </w:r>
          </w:p>
        </w:tc>
        <w:tc>
          <w:tcPr>
            <w:tcW w:w="1077" w:type="dxa"/>
            <w:hideMark/>
          </w:tcPr>
          <w:p w14:paraId="1708164B"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7F25A1">
              <w:rPr>
                <w:b/>
                <w:bCs/>
                <w:sz w:val="20"/>
                <w:szCs w:val="20"/>
              </w:rPr>
              <w:t>8,6</w:t>
            </w:r>
          </w:p>
        </w:tc>
        <w:tc>
          <w:tcPr>
            <w:tcW w:w="1122" w:type="dxa"/>
            <w:hideMark/>
          </w:tcPr>
          <w:p w14:paraId="2C4BEB5A"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7F25A1">
              <w:rPr>
                <w:b/>
                <w:bCs/>
                <w:sz w:val="20"/>
                <w:szCs w:val="20"/>
              </w:rPr>
              <w:t>19,0</w:t>
            </w:r>
          </w:p>
        </w:tc>
        <w:tc>
          <w:tcPr>
            <w:tcW w:w="1122" w:type="dxa"/>
            <w:hideMark/>
          </w:tcPr>
          <w:p w14:paraId="7790A6B2"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7F25A1">
              <w:rPr>
                <w:b/>
                <w:bCs/>
                <w:sz w:val="20"/>
                <w:szCs w:val="20"/>
              </w:rPr>
              <w:t>18,1</w:t>
            </w:r>
          </w:p>
        </w:tc>
        <w:tc>
          <w:tcPr>
            <w:tcW w:w="1122" w:type="dxa"/>
            <w:hideMark/>
          </w:tcPr>
          <w:p w14:paraId="0357F40D"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7F25A1">
              <w:rPr>
                <w:b/>
                <w:bCs/>
                <w:sz w:val="20"/>
                <w:szCs w:val="20"/>
              </w:rPr>
              <w:t>19,2</w:t>
            </w:r>
          </w:p>
        </w:tc>
        <w:tc>
          <w:tcPr>
            <w:tcW w:w="1122" w:type="dxa"/>
            <w:hideMark/>
          </w:tcPr>
          <w:p w14:paraId="603A5416"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7F25A1">
              <w:rPr>
                <w:b/>
                <w:bCs/>
                <w:sz w:val="20"/>
                <w:szCs w:val="20"/>
              </w:rPr>
              <w:t>21,6</w:t>
            </w:r>
          </w:p>
        </w:tc>
        <w:tc>
          <w:tcPr>
            <w:tcW w:w="1122" w:type="dxa"/>
            <w:hideMark/>
          </w:tcPr>
          <w:p w14:paraId="38B8C721"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7F25A1">
              <w:rPr>
                <w:b/>
                <w:bCs/>
                <w:sz w:val="20"/>
                <w:szCs w:val="20"/>
              </w:rPr>
              <w:t>25,1</w:t>
            </w:r>
          </w:p>
        </w:tc>
        <w:tc>
          <w:tcPr>
            <w:tcW w:w="805" w:type="dxa"/>
            <w:hideMark/>
          </w:tcPr>
          <w:p w14:paraId="23BC0F7D"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7F25A1">
              <w:rPr>
                <w:b/>
                <w:bCs/>
                <w:sz w:val="20"/>
                <w:szCs w:val="20"/>
              </w:rPr>
              <w:t>26,5</w:t>
            </w:r>
          </w:p>
        </w:tc>
        <w:tc>
          <w:tcPr>
            <w:tcW w:w="805" w:type="dxa"/>
            <w:hideMark/>
          </w:tcPr>
          <w:p w14:paraId="00AAE15E"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7F25A1">
              <w:rPr>
                <w:b/>
                <w:bCs/>
                <w:sz w:val="20"/>
                <w:szCs w:val="20"/>
              </w:rPr>
              <w:t>27,1</w:t>
            </w:r>
          </w:p>
        </w:tc>
      </w:tr>
      <w:tr w:rsidR="00201039" w:rsidRPr="007F25A1" w14:paraId="363ED9DA" w14:textId="77777777" w:rsidTr="002D044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47" w:type="dxa"/>
            <w:hideMark/>
          </w:tcPr>
          <w:p w14:paraId="783499DE" w14:textId="77777777" w:rsidR="00201039" w:rsidRPr="007F25A1" w:rsidRDefault="00201039" w:rsidP="002D044B">
            <w:pPr>
              <w:spacing w:after="0"/>
              <w:jc w:val="left"/>
              <w:rPr>
                <w:b w:val="0"/>
                <w:sz w:val="20"/>
                <w:szCs w:val="20"/>
              </w:rPr>
            </w:pPr>
            <w:r w:rsidRPr="007F25A1">
              <w:rPr>
                <w:b w:val="0"/>
                <w:sz w:val="20"/>
                <w:szCs w:val="20"/>
              </w:rPr>
              <w:t>sh keskvalitsuse panus</w:t>
            </w:r>
          </w:p>
        </w:tc>
        <w:tc>
          <w:tcPr>
            <w:tcW w:w="1077" w:type="dxa"/>
            <w:hideMark/>
          </w:tcPr>
          <w:p w14:paraId="14FFD715"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5,8</w:t>
            </w:r>
          </w:p>
        </w:tc>
        <w:tc>
          <w:tcPr>
            <w:tcW w:w="1122" w:type="dxa"/>
            <w:hideMark/>
          </w:tcPr>
          <w:p w14:paraId="35EAF6CE"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15,7</w:t>
            </w:r>
          </w:p>
        </w:tc>
        <w:tc>
          <w:tcPr>
            <w:tcW w:w="1122" w:type="dxa"/>
            <w:hideMark/>
          </w:tcPr>
          <w:p w14:paraId="120AFCD4"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15,1</w:t>
            </w:r>
          </w:p>
        </w:tc>
        <w:tc>
          <w:tcPr>
            <w:tcW w:w="1122" w:type="dxa"/>
            <w:hideMark/>
          </w:tcPr>
          <w:p w14:paraId="4A920923"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16,2</w:t>
            </w:r>
          </w:p>
        </w:tc>
        <w:tc>
          <w:tcPr>
            <w:tcW w:w="1122" w:type="dxa"/>
            <w:hideMark/>
          </w:tcPr>
          <w:p w14:paraId="5F755F6D"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18,4</w:t>
            </w:r>
          </w:p>
        </w:tc>
        <w:tc>
          <w:tcPr>
            <w:tcW w:w="1122" w:type="dxa"/>
            <w:hideMark/>
          </w:tcPr>
          <w:p w14:paraId="34DABF07"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21,8</w:t>
            </w:r>
          </w:p>
        </w:tc>
        <w:tc>
          <w:tcPr>
            <w:tcW w:w="805" w:type="dxa"/>
            <w:hideMark/>
          </w:tcPr>
          <w:p w14:paraId="46DF2EA2"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23,1</w:t>
            </w:r>
          </w:p>
        </w:tc>
        <w:tc>
          <w:tcPr>
            <w:tcW w:w="805" w:type="dxa"/>
            <w:hideMark/>
          </w:tcPr>
          <w:p w14:paraId="7B0CD471"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23,8</w:t>
            </w:r>
          </w:p>
        </w:tc>
      </w:tr>
      <w:tr w:rsidR="00201039" w:rsidRPr="007F25A1" w14:paraId="59F4E66A" w14:textId="77777777" w:rsidTr="002D044B">
        <w:trPr>
          <w:trHeight w:val="240"/>
        </w:trPr>
        <w:tc>
          <w:tcPr>
            <w:cnfStyle w:val="001000000000" w:firstRow="0" w:lastRow="0" w:firstColumn="1" w:lastColumn="0" w:oddVBand="0" w:evenVBand="0" w:oddHBand="0" w:evenHBand="0" w:firstRowFirstColumn="0" w:firstRowLastColumn="0" w:lastRowFirstColumn="0" w:lastRowLastColumn="0"/>
            <w:tcW w:w="1747" w:type="dxa"/>
            <w:hideMark/>
          </w:tcPr>
          <w:p w14:paraId="24386221" w14:textId="77777777" w:rsidR="00201039" w:rsidRPr="007F25A1" w:rsidRDefault="00201039" w:rsidP="002D044B">
            <w:pPr>
              <w:spacing w:after="0"/>
              <w:jc w:val="left"/>
              <w:rPr>
                <w:b w:val="0"/>
                <w:sz w:val="20"/>
                <w:szCs w:val="20"/>
              </w:rPr>
            </w:pPr>
            <w:r w:rsidRPr="007F25A1">
              <w:rPr>
                <w:b w:val="0"/>
                <w:sz w:val="20"/>
                <w:szCs w:val="20"/>
              </w:rPr>
              <w:t xml:space="preserve"> </w:t>
            </w:r>
            <w:proofErr w:type="spellStart"/>
            <w:r w:rsidRPr="007F25A1">
              <w:rPr>
                <w:b w:val="0"/>
                <w:sz w:val="20"/>
                <w:szCs w:val="20"/>
              </w:rPr>
              <w:t>EFSFi</w:t>
            </w:r>
            <w:proofErr w:type="spellEnd"/>
            <w:r w:rsidRPr="007F25A1">
              <w:rPr>
                <w:b w:val="0"/>
                <w:sz w:val="20"/>
                <w:szCs w:val="20"/>
              </w:rPr>
              <w:t xml:space="preserve"> mõju</w:t>
            </w:r>
          </w:p>
        </w:tc>
        <w:tc>
          <w:tcPr>
            <w:tcW w:w="1077" w:type="dxa"/>
            <w:hideMark/>
          </w:tcPr>
          <w:p w14:paraId="22194EFA"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1,7</w:t>
            </w:r>
          </w:p>
        </w:tc>
        <w:tc>
          <w:tcPr>
            <w:tcW w:w="1122" w:type="dxa"/>
            <w:hideMark/>
          </w:tcPr>
          <w:p w14:paraId="3FF78F22"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1,8</w:t>
            </w:r>
          </w:p>
        </w:tc>
        <w:tc>
          <w:tcPr>
            <w:tcW w:w="1122" w:type="dxa"/>
            <w:hideMark/>
          </w:tcPr>
          <w:p w14:paraId="173ADBAD"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1,6</w:t>
            </w:r>
          </w:p>
        </w:tc>
        <w:tc>
          <w:tcPr>
            <w:tcW w:w="1122" w:type="dxa"/>
            <w:hideMark/>
          </w:tcPr>
          <w:p w14:paraId="480A4AE6"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1,5</w:t>
            </w:r>
          </w:p>
        </w:tc>
        <w:tc>
          <w:tcPr>
            <w:tcW w:w="1122" w:type="dxa"/>
            <w:hideMark/>
          </w:tcPr>
          <w:p w14:paraId="4DE8253B"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1,3</w:t>
            </w:r>
          </w:p>
        </w:tc>
        <w:tc>
          <w:tcPr>
            <w:tcW w:w="1122" w:type="dxa"/>
            <w:hideMark/>
          </w:tcPr>
          <w:p w14:paraId="5DE933CE"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1,2</w:t>
            </w:r>
          </w:p>
        </w:tc>
        <w:tc>
          <w:tcPr>
            <w:tcW w:w="805" w:type="dxa"/>
            <w:hideMark/>
          </w:tcPr>
          <w:p w14:paraId="56754AD7"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1,1</w:t>
            </w:r>
          </w:p>
        </w:tc>
        <w:tc>
          <w:tcPr>
            <w:tcW w:w="805" w:type="dxa"/>
            <w:hideMark/>
          </w:tcPr>
          <w:p w14:paraId="6CC4EE3F"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1,0</w:t>
            </w:r>
          </w:p>
        </w:tc>
      </w:tr>
      <w:tr w:rsidR="00201039" w:rsidRPr="007F25A1" w14:paraId="4DA33789" w14:textId="77777777" w:rsidTr="002D044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47" w:type="dxa"/>
            <w:hideMark/>
          </w:tcPr>
          <w:p w14:paraId="23385058" w14:textId="77777777" w:rsidR="00201039" w:rsidRPr="007F25A1" w:rsidRDefault="00201039" w:rsidP="002D044B">
            <w:pPr>
              <w:spacing w:after="0"/>
              <w:jc w:val="left"/>
              <w:rPr>
                <w:b w:val="0"/>
                <w:sz w:val="20"/>
                <w:szCs w:val="20"/>
              </w:rPr>
            </w:pPr>
            <w:r w:rsidRPr="007F25A1">
              <w:rPr>
                <w:sz w:val="20"/>
                <w:szCs w:val="20"/>
              </w:rPr>
              <w:t xml:space="preserve"> </w:t>
            </w:r>
            <w:r w:rsidRPr="007F25A1">
              <w:rPr>
                <w:b w:val="0"/>
                <w:sz w:val="20"/>
                <w:szCs w:val="20"/>
              </w:rPr>
              <w:t>keskvalitsus ilma EFSF-ta</w:t>
            </w:r>
          </w:p>
        </w:tc>
        <w:tc>
          <w:tcPr>
            <w:tcW w:w="1077" w:type="dxa"/>
            <w:hideMark/>
          </w:tcPr>
          <w:p w14:paraId="426EFFA8"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4,1</w:t>
            </w:r>
          </w:p>
        </w:tc>
        <w:tc>
          <w:tcPr>
            <w:tcW w:w="1122" w:type="dxa"/>
            <w:hideMark/>
          </w:tcPr>
          <w:p w14:paraId="3752B902"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13,9</w:t>
            </w:r>
          </w:p>
        </w:tc>
        <w:tc>
          <w:tcPr>
            <w:tcW w:w="1122" w:type="dxa"/>
            <w:hideMark/>
          </w:tcPr>
          <w:p w14:paraId="7B90478E"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13,5</w:t>
            </w:r>
          </w:p>
        </w:tc>
        <w:tc>
          <w:tcPr>
            <w:tcW w:w="1122" w:type="dxa"/>
            <w:hideMark/>
          </w:tcPr>
          <w:p w14:paraId="69161DE0"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14,7</w:t>
            </w:r>
          </w:p>
        </w:tc>
        <w:tc>
          <w:tcPr>
            <w:tcW w:w="1122" w:type="dxa"/>
            <w:hideMark/>
          </w:tcPr>
          <w:p w14:paraId="10850DFE"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17,1</w:t>
            </w:r>
          </w:p>
        </w:tc>
        <w:tc>
          <w:tcPr>
            <w:tcW w:w="1122" w:type="dxa"/>
            <w:hideMark/>
          </w:tcPr>
          <w:p w14:paraId="5B76872A"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20,6</w:t>
            </w:r>
          </w:p>
        </w:tc>
        <w:tc>
          <w:tcPr>
            <w:tcW w:w="805" w:type="dxa"/>
            <w:hideMark/>
          </w:tcPr>
          <w:p w14:paraId="6D2C3171"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22,0</w:t>
            </w:r>
          </w:p>
        </w:tc>
        <w:tc>
          <w:tcPr>
            <w:tcW w:w="805" w:type="dxa"/>
            <w:hideMark/>
          </w:tcPr>
          <w:p w14:paraId="5371BE6D" w14:textId="77777777" w:rsidR="00201039" w:rsidRPr="007F25A1" w:rsidRDefault="00201039" w:rsidP="002D044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22,7</w:t>
            </w:r>
          </w:p>
        </w:tc>
      </w:tr>
      <w:tr w:rsidR="00201039" w:rsidRPr="007F25A1" w14:paraId="346E21D1" w14:textId="77777777" w:rsidTr="002D044B">
        <w:trPr>
          <w:trHeight w:val="240"/>
        </w:trPr>
        <w:tc>
          <w:tcPr>
            <w:cnfStyle w:val="001000000000" w:firstRow="0" w:lastRow="0" w:firstColumn="1" w:lastColumn="0" w:oddVBand="0" w:evenVBand="0" w:oddHBand="0" w:evenHBand="0" w:firstRowFirstColumn="0" w:firstRowLastColumn="0" w:lastRowFirstColumn="0" w:lastRowLastColumn="0"/>
            <w:tcW w:w="1747" w:type="dxa"/>
            <w:hideMark/>
          </w:tcPr>
          <w:p w14:paraId="099657BE" w14:textId="77777777" w:rsidR="00201039" w:rsidRPr="007F25A1" w:rsidRDefault="00201039" w:rsidP="002D044B">
            <w:pPr>
              <w:spacing w:after="0"/>
              <w:jc w:val="left"/>
              <w:rPr>
                <w:b w:val="0"/>
                <w:sz w:val="20"/>
                <w:szCs w:val="20"/>
              </w:rPr>
            </w:pPr>
            <w:r w:rsidRPr="007F25A1">
              <w:rPr>
                <w:b w:val="0"/>
                <w:sz w:val="20"/>
                <w:szCs w:val="20"/>
              </w:rPr>
              <w:t xml:space="preserve"> kohalikud omavalitsused</w:t>
            </w:r>
          </w:p>
        </w:tc>
        <w:tc>
          <w:tcPr>
            <w:tcW w:w="1077" w:type="dxa"/>
            <w:hideMark/>
          </w:tcPr>
          <w:p w14:paraId="67B0C6BF"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2,7</w:t>
            </w:r>
          </w:p>
        </w:tc>
        <w:tc>
          <w:tcPr>
            <w:tcW w:w="1122" w:type="dxa"/>
            <w:hideMark/>
          </w:tcPr>
          <w:p w14:paraId="03C58C78"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3,3</w:t>
            </w:r>
          </w:p>
        </w:tc>
        <w:tc>
          <w:tcPr>
            <w:tcW w:w="1122" w:type="dxa"/>
            <w:hideMark/>
          </w:tcPr>
          <w:p w14:paraId="4CAA8D77"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3,0</w:t>
            </w:r>
          </w:p>
        </w:tc>
        <w:tc>
          <w:tcPr>
            <w:tcW w:w="1122" w:type="dxa"/>
            <w:hideMark/>
          </w:tcPr>
          <w:p w14:paraId="4601FF13"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3,0</w:t>
            </w:r>
          </w:p>
        </w:tc>
        <w:tc>
          <w:tcPr>
            <w:tcW w:w="1122" w:type="dxa"/>
            <w:hideMark/>
          </w:tcPr>
          <w:p w14:paraId="55A34482"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3,2</w:t>
            </w:r>
          </w:p>
        </w:tc>
        <w:tc>
          <w:tcPr>
            <w:tcW w:w="1122" w:type="dxa"/>
            <w:hideMark/>
          </w:tcPr>
          <w:p w14:paraId="73880970"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3,3</w:t>
            </w:r>
          </w:p>
        </w:tc>
        <w:tc>
          <w:tcPr>
            <w:tcW w:w="805" w:type="dxa"/>
            <w:hideMark/>
          </w:tcPr>
          <w:p w14:paraId="44DF0233"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3,4</w:t>
            </w:r>
          </w:p>
        </w:tc>
        <w:tc>
          <w:tcPr>
            <w:tcW w:w="805" w:type="dxa"/>
            <w:hideMark/>
          </w:tcPr>
          <w:p w14:paraId="3A6449C0" w14:textId="77777777" w:rsidR="00201039" w:rsidRPr="007F25A1" w:rsidRDefault="00201039" w:rsidP="002D044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3,4</w:t>
            </w:r>
          </w:p>
        </w:tc>
      </w:tr>
    </w:tbl>
    <w:p w14:paraId="00142B51" w14:textId="77777777" w:rsidR="00201039" w:rsidRDefault="00201039" w:rsidP="00201039">
      <w:pPr>
        <w:spacing w:after="0"/>
      </w:pPr>
      <w:r>
        <w:fldChar w:fldCharType="end"/>
      </w:r>
    </w:p>
    <w:p w14:paraId="20CE747B" w14:textId="77777777" w:rsidR="00201039" w:rsidRPr="005E388D" w:rsidRDefault="00201039" w:rsidP="00201039">
      <w:pPr>
        <w:spacing w:after="0"/>
        <w:rPr>
          <w:rFonts w:ascii="Roboto Condensed" w:hAnsi="Roboto Condensed"/>
          <w:sz w:val="18"/>
        </w:rPr>
      </w:pPr>
      <w:r w:rsidRPr="005E388D">
        <w:rPr>
          <w:rFonts w:ascii="Roboto Condensed" w:hAnsi="Roboto Condensed"/>
          <w:sz w:val="18"/>
        </w:rPr>
        <w:t>*Valitsussektori tasandil konsolideeritud</w:t>
      </w:r>
    </w:p>
    <w:p w14:paraId="2B57530D" w14:textId="77777777" w:rsidR="00201039" w:rsidRDefault="00201039" w:rsidP="00201039">
      <w:pPr>
        <w:spacing w:after="0"/>
      </w:pPr>
    </w:p>
    <w:p w14:paraId="3673EF31" w14:textId="3EF2B8D8" w:rsidR="00201039" w:rsidRDefault="00201039" w:rsidP="00831AD9">
      <w:pPr>
        <w:jc w:val="both"/>
        <w:rPr>
          <w:highlight w:val="yellow"/>
        </w:rPr>
      </w:pPr>
    </w:p>
    <w:p w14:paraId="00AA1CC0" w14:textId="77777777" w:rsidR="000C04EE" w:rsidRDefault="000C04EE" w:rsidP="00831AD9">
      <w:pPr>
        <w:jc w:val="both"/>
        <w:rPr>
          <w:highlight w:val="yellow"/>
        </w:rPr>
      </w:pPr>
    </w:p>
    <w:p w14:paraId="43B37F8E" w14:textId="4EC98A2D" w:rsidR="00201039" w:rsidRDefault="00201039" w:rsidP="00201039">
      <w:pPr>
        <w:pStyle w:val="Pealdis"/>
      </w:pPr>
      <w:bookmarkStart w:id="216" w:name="_Toc100230303"/>
      <w:r>
        <w:lastRenderedPageBreak/>
        <w:t xml:space="preserve">Tabel </w:t>
      </w:r>
      <w:fldSimple w:instr=" SEQ Tabel \* ARABIC ">
        <w:r w:rsidR="000C04EE">
          <w:rPr>
            <w:noProof/>
          </w:rPr>
          <w:t>18</w:t>
        </w:r>
      </w:fldSimple>
      <w:r>
        <w:t xml:space="preserve">. </w:t>
      </w:r>
      <w:r w:rsidRPr="006014DB">
        <w:t>Valitsussektori likviidsed finantsvarad 2019-2026 (mln eurot, % SKPst)</w:t>
      </w:r>
      <w:bookmarkEnd w:id="216"/>
      <w:r w:rsidRPr="005E388D">
        <w:rPr>
          <w:rFonts w:ascii="Roboto Condensed" w:hAnsi="Roboto Condensed"/>
          <w:szCs w:val="20"/>
        </w:rPr>
        <w:fldChar w:fldCharType="begin"/>
      </w:r>
      <w:r w:rsidRPr="005E388D">
        <w:rPr>
          <w:rFonts w:ascii="Roboto Condensed" w:hAnsi="Roboto Condensed"/>
          <w:szCs w:val="20"/>
        </w:rPr>
        <w:instrText xml:space="preserve"> LINK </w:instrText>
      </w:r>
      <w:r w:rsidR="003C7472">
        <w:rPr>
          <w:rFonts w:ascii="Roboto Condensed" w:hAnsi="Roboto Condensed"/>
          <w:szCs w:val="20"/>
        </w:rPr>
        <w:instrText xml:space="preserve">Excel.Sheet.12 "\\\\riik.sise\\yld\\ram$\\FPO\\14. PROGNOOSID\\2022 kevad\\Seletuskiri\\Tabelid ja joonised Kevad 2022_rahandus.xlsx" Tabelid!R128C2:R136C10 </w:instrText>
      </w:r>
      <w:r w:rsidRPr="005E388D">
        <w:rPr>
          <w:rFonts w:ascii="Roboto Condensed" w:hAnsi="Roboto Condensed"/>
          <w:szCs w:val="20"/>
        </w:rPr>
        <w:instrText xml:space="preserve">\a \f 5 \h  \* MERGEFORMAT </w:instrText>
      </w:r>
      <w:r w:rsidRPr="005E388D">
        <w:rPr>
          <w:rFonts w:ascii="Roboto Condensed" w:hAnsi="Roboto Condensed"/>
          <w:szCs w:val="20"/>
        </w:rPr>
        <w:fldChar w:fldCharType="separate"/>
      </w:r>
    </w:p>
    <w:tbl>
      <w:tblPr>
        <w:tblStyle w:val="Peentabel1"/>
        <w:tblW w:w="9852" w:type="dxa"/>
        <w:tblLook w:val="04A0" w:firstRow="1" w:lastRow="0" w:firstColumn="1" w:lastColumn="0" w:noHBand="0" w:noVBand="1"/>
      </w:tblPr>
      <w:tblGrid>
        <w:gridCol w:w="2158"/>
        <w:gridCol w:w="1010"/>
        <w:gridCol w:w="1052"/>
        <w:gridCol w:w="1052"/>
        <w:gridCol w:w="1052"/>
        <w:gridCol w:w="1052"/>
        <w:gridCol w:w="1052"/>
        <w:gridCol w:w="755"/>
        <w:gridCol w:w="755"/>
      </w:tblGrid>
      <w:tr w:rsidR="00201039" w:rsidRPr="007F25A1" w14:paraId="62FFEF4D" w14:textId="77777777" w:rsidTr="002D044B">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072" w:type="dxa"/>
            <w:hideMark/>
          </w:tcPr>
          <w:p w14:paraId="58314566" w14:textId="77777777" w:rsidR="00201039" w:rsidRPr="007F25A1" w:rsidRDefault="00201039" w:rsidP="002D044B">
            <w:pPr>
              <w:rPr>
                <w:bCs/>
                <w:sz w:val="20"/>
                <w:szCs w:val="20"/>
              </w:rPr>
            </w:pPr>
            <w:r w:rsidRPr="007F25A1">
              <w:rPr>
                <w:bCs/>
                <w:sz w:val="20"/>
                <w:szCs w:val="20"/>
              </w:rPr>
              <w:t> </w:t>
            </w:r>
          </w:p>
        </w:tc>
        <w:tc>
          <w:tcPr>
            <w:tcW w:w="1010" w:type="dxa"/>
            <w:noWrap/>
            <w:hideMark/>
          </w:tcPr>
          <w:p w14:paraId="7540450D" w14:textId="77777777" w:rsidR="00201039" w:rsidRPr="007F25A1" w:rsidRDefault="00201039" w:rsidP="002D044B">
            <w:pPr>
              <w:cnfStyle w:val="100000000000" w:firstRow="1" w:lastRow="0" w:firstColumn="0" w:lastColumn="0" w:oddVBand="0" w:evenVBand="0" w:oddHBand="0" w:evenHBand="0" w:firstRowFirstColumn="0" w:firstRowLastColumn="0" w:lastRowFirstColumn="0" w:lastRowLastColumn="0"/>
              <w:rPr>
                <w:bCs/>
                <w:sz w:val="20"/>
                <w:szCs w:val="20"/>
              </w:rPr>
            </w:pPr>
            <w:r w:rsidRPr="007F25A1">
              <w:rPr>
                <w:bCs/>
                <w:sz w:val="20"/>
                <w:szCs w:val="20"/>
              </w:rPr>
              <w:t>2019</w:t>
            </w:r>
          </w:p>
        </w:tc>
        <w:tc>
          <w:tcPr>
            <w:tcW w:w="1052" w:type="dxa"/>
            <w:noWrap/>
            <w:hideMark/>
          </w:tcPr>
          <w:p w14:paraId="3DA5EC40" w14:textId="77777777" w:rsidR="00201039" w:rsidRPr="007F25A1" w:rsidRDefault="00201039" w:rsidP="002D044B">
            <w:pPr>
              <w:cnfStyle w:val="100000000000" w:firstRow="1" w:lastRow="0" w:firstColumn="0" w:lastColumn="0" w:oddVBand="0" w:evenVBand="0" w:oddHBand="0" w:evenHBand="0" w:firstRowFirstColumn="0" w:firstRowLastColumn="0" w:lastRowFirstColumn="0" w:lastRowLastColumn="0"/>
              <w:rPr>
                <w:bCs/>
                <w:sz w:val="20"/>
                <w:szCs w:val="20"/>
              </w:rPr>
            </w:pPr>
            <w:r w:rsidRPr="007F25A1">
              <w:rPr>
                <w:bCs/>
                <w:sz w:val="20"/>
                <w:szCs w:val="20"/>
              </w:rPr>
              <w:t>2020</w:t>
            </w:r>
          </w:p>
        </w:tc>
        <w:tc>
          <w:tcPr>
            <w:tcW w:w="1052" w:type="dxa"/>
            <w:noWrap/>
            <w:hideMark/>
          </w:tcPr>
          <w:p w14:paraId="216515B7" w14:textId="77777777" w:rsidR="00201039" w:rsidRPr="007F25A1" w:rsidRDefault="00201039" w:rsidP="002D044B">
            <w:pPr>
              <w:cnfStyle w:val="100000000000" w:firstRow="1" w:lastRow="0" w:firstColumn="0" w:lastColumn="0" w:oddVBand="0" w:evenVBand="0" w:oddHBand="0" w:evenHBand="0" w:firstRowFirstColumn="0" w:firstRowLastColumn="0" w:lastRowFirstColumn="0" w:lastRowLastColumn="0"/>
              <w:rPr>
                <w:bCs/>
                <w:sz w:val="20"/>
                <w:szCs w:val="20"/>
              </w:rPr>
            </w:pPr>
            <w:r w:rsidRPr="007F25A1">
              <w:rPr>
                <w:bCs/>
                <w:sz w:val="20"/>
                <w:szCs w:val="20"/>
              </w:rPr>
              <w:t>2021</w:t>
            </w:r>
          </w:p>
        </w:tc>
        <w:tc>
          <w:tcPr>
            <w:tcW w:w="1052" w:type="dxa"/>
            <w:noWrap/>
            <w:hideMark/>
          </w:tcPr>
          <w:p w14:paraId="3DFEC561" w14:textId="77777777" w:rsidR="00201039" w:rsidRPr="007F25A1" w:rsidRDefault="00201039" w:rsidP="002D044B">
            <w:pPr>
              <w:cnfStyle w:val="100000000000" w:firstRow="1" w:lastRow="0" w:firstColumn="0" w:lastColumn="0" w:oddVBand="0" w:evenVBand="0" w:oddHBand="0" w:evenHBand="0" w:firstRowFirstColumn="0" w:firstRowLastColumn="0" w:lastRowFirstColumn="0" w:lastRowLastColumn="0"/>
              <w:rPr>
                <w:bCs/>
                <w:sz w:val="20"/>
                <w:szCs w:val="20"/>
              </w:rPr>
            </w:pPr>
            <w:r w:rsidRPr="007F25A1">
              <w:rPr>
                <w:bCs/>
                <w:sz w:val="20"/>
                <w:szCs w:val="20"/>
              </w:rPr>
              <w:t>2022</w:t>
            </w:r>
          </w:p>
        </w:tc>
        <w:tc>
          <w:tcPr>
            <w:tcW w:w="1052" w:type="dxa"/>
            <w:noWrap/>
            <w:hideMark/>
          </w:tcPr>
          <w:p w14:paraId="71E6E10B" w14:textId="77777777" w:rsidR="00201039" w:rsidRPr="007F25A1" w:rsidRDefault="00201039" w:rsidP="002D044B">
            <w:pPr>
              <w:cnfStyle w:val="100000000000" w:firstRow="1" w:lastRow="0" w:firstColumn="0" w:lastColumn="0" w:oddVBand="0" w:evenVBand="0" w:oddHBand="0" w:evenHBand="0" w:firstRowFirstColumn="0" w:firstRowLastColumn="0" w:lastRowFirstColumn="0" w:lastRowLastColumn="0"/>
              <w:rPr>
                <w:bCs/>
                <w:sz w:val="20"/>
                <w:szCs w:val="20"/>
              </w:rPr>
            </w:pPr>
            <w:r w:rsidRPr="007F25A1">
              <w:rPr>
                <w:bCs/>
                <w:sz w:val="20"/>
                <w:szCs w:val="20"/>
              </w:rPr>
              <w:t>2023</w:t>
            </w:r>
          </w:p>
        </w:tc>
        <w:tc>
          <w:tcPr>
            <w:tcW w:w="1052" w:type="dxa"/>
            <w:noWrap/>
            <w:hideMark/>
          </w:tcPr>
          <w:p w14:paraId="415455C9" w14:textId="77777777" w:rsidR="00201039" w:rsidRPr="007F25A1" w:rsidRDefault="00201039" w:rsidP="002D044B">
            <w:pPr>
              <w:cnfStyle w:val="100000000000" w:firstRow="1" w:lastRow="0" w:firstColumn="0" w:lastColumn="0" w:oddVBand="0" w:evenVBand="0" w:oddHBand="0" w:evenHBand="0" w:firstRowFirstColumn="0" w:firstRowLastColumn="0" w:lastRowFirstColumn="0" w:lastRowLastColumn="0"/>
              <w:rPr>
                <w:bCs/>
                <w:sz w:val="20"/>
                <w:szCs w:val="20"/>
              </w:rPr>
            </w:pPr>
            <w:r w:rsidRPr="007F25A1">
              <w:rPr>
                <w:bCs/>
                <w:sz w:val="20"/>
                <w:szCs w:val="20"/>
              </w:rPr>
              <w:t>2024</w:t>
            </w:r>
          </w:p>
        </w:tc>
        <w:tc>
          <w:tcPr>
            <w:tcW w:w="755" w:type="dxa"/>
            <w:noWrap/>
            <w:hideMark/>
          </w:tcPr>
          <w:p w14:paraId="5B6BE459" w14:textId="77777777" w:rsidR="00201039" w:rsidRPr="007F25A1" w:rsidRDefault="00201039" w:rsidP="002D044B">
            <w:pPr>
              <w:cnfStyle w:val="100000000000" w:firstRow="1" w:lastRow="0" w:firstColumn="0" w:lastColumn="0" w:oddVBand="0" w:evenVBand="0" w:oddHBand="0" w:evenHBand="0" w:firstRowFirstColumn="0" w:firstRowLastColumn="0" w:lastRowFirstColumn="0" w:lastRowLastColumn="0"/>
              <w:rPr>
                <w:bCs/>
                <w:sz w:val="20"/>
                <w:szCs w:val="20"/>
              </w:rPr>
            </w:pPr>
            <w:r w:rsidRPr="007F25A1">
              <w:rPr>
                <w:bCs/>
                <w:sz w:val="20"/>
                <w:szCs w:val="20"/>
              </w:rPr>
              <w:t>2025</w:t>
            </w:r>
          </w:p>
        </w:tc>
        <w:tc>
          <w:tcPr>
            <w:tcW w:w="755" w:type="dxa"/>
            <w:noWrap/>
            <w:hideMark/>
          </w:tcPr>
          <w:p w14:paraId="55240C7D" w14:textId="77777777" w:rsidR="00201039" w:rsidRPr="007F25A1" w:rsidRDefault="00201039" w:rsidP="002D044B">
            <w:pPr>
              <w:cnfStyle w:val="100000000000" w:firstRow="1" w:lastRow="0" w:firstColumn="0" w:lastColumn="0" w:oddVBand="0" w:evenVBand="0" w:oddHBand="0" w:evenHBand="0" w:firstRowFirstColumn="0" w:firstRowLastColumn="0" w:lastRowFirstColumn="0" w:lastRowLastColumn="0"/>
              <w:rPr>
                <w:bCs/>
                <w:sz w:val="20"/>
                <w:szCs w:val="20"/>
              </w:rPr>
            </w:pPr>
            <w:r w:rsidRPr="007F25A1">
              <w:rPr>
                <w:bCs/>
                <w:sz w:val="20"/>
                <w:szCs w:val="20"/>
              </w:rPr>
              <w:t>2026</w:t>
            </w:r>
          </w:p>
        </w:tc>
      </w:tr>
      <w:tr w:rsidR="00201039" w:rsidRPr="007F25A1" w14:paraId="6C65F3ED" w14:textId="77777777" w:rsidTr="002D044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72" w:type="dxa"/>
            <w:hideMark/>
          </w:tcPr>
          <w:p w14:paraId="0F8C394A" w14:textId="77777777" w:rsidR="00201039" w:rsidRPr="007F25A1" w:rsidRDefault="00201039" w:rsidP="002D044B">
            <w:pPr>
              <w:rPr>
                <w:bCs/>
                <w:sz w:val="20"/>
                <w:szCs w:val="20"/>
              </w:rPr>
            </w:pPr>
            <w:r w:rsidRPr="007F25A1">
              <w:rPr>
                <w:bCs/>
                <w:sz w:val="20"/>
                <w:szCs w:val="20"/>
              </w:rPr>
              <w:t>Finantsvarad kokku (mln eurot)</w:t>
            </w:r>
          </w:p>
        </w:tc>
        <w:tc>
          <w:tcPr>
            <w:tcW w:w="1010" w:type="dxa"/>
            <w:hideMark/>
          </w:tcPr>
          <w:p w14:paraId="117E76F8"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b/>
                <w:bCs/>
                <w:sz w:val="20"/>
                <w:szCs w:val="20"/>
              </w:rPr>
            </w:pPr>
            <w:r w:rsidRPr="007F25A1">
              <w:rPr>
                <w:b/>
                <w:bCs/>
                <w:sz w:val="20"/>
                <w:szCs w:val="20"/>
              </w:rPr>
              <w:t>2 239</w:t>
            </w:r>
          </w:p>
        </w:tc>
        <w:tc>
          <w:tcPr>
            <w:tcW w:w="1052" w:type="dxa"/>
            <w:hideMark/>
          </w:tcPr>
          <w:p w14:paraId="3BA6CC94"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b/>
                <w:bCs/>
                <w:sz w:val="20"/>
                <w:szCs w:val="20"/>
              </w:rPr>
            </w:pPr>
            <w:r w:rsidRPr="007F25A1">
              <w:rPr>
                <w:b/>
                <w:bCs/>
                <w:sz w:val="20"/>
                <w:szCs w:val="20"/>
              </w:rPr>
              <w:t>3 302</w:t>
            </w:r>
          </w:p>
        </w:tc>
        <w:tc>
          <w:tcPr>
            <w:tcW w:w="1052" w:type="dxa"/>
            <w:hideMark/>
          </w:tcPr>
          <w:p w14:paraId="0903245C"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b/>
                <w:bCs/>
                <w:sz w:val="20"/>
                <w:szCs w:val="20"/>
              </w:rPr>
            </w:pPr>
            <w:r w:rsidRPr="007F25A1">
              <w:rPr>
                <w:b/>
                <w:bCs/>
                <w:sz w:val="20"/>
                <w:szCs w:val="20"/>
              </w:rPr>
              <w:t>3 185</w:t>
            </w:r>
          </w:p>
        </w:tc>
        <w:tc>
          <w:tcPr>
            <w:tcW w:w="1052" w:type="dxa"/>
            <w:hideMark/>
          </w:tcPr>
          <w:p w14:paraId="589681B0"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b/>
                <w:bCs/>
                <w:sz w:val="20"/>
                <w:szCs w:val="20"/>
              </w:rPr>
            </w:pPr>
            <w:r w:rsidRPr="007F25A1">
              <w:rPr>
                <w:b/>
                <w:bCs/>
                <w:sz w:val="20"/>
                <w:szCs w:val="20"/>
              </w:rPr>
              <w:t>2 531</w:t>
            </w:r>
          </w:p>
        </w:tc>
        <w:tc>
          <w:tcPr>
            <w:tcW w:w="1052" w:type="dxa"/>
            <w:hideMark/>
          </w:tcPr>
          <w:p w14:paraId="20FA137B"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b/>
                <w:bCs/>
                <w:sz w:val="20"/>
                <w:szCs w:val="20"/>
              </w:rPr>
            </w:pPr>
            <w:r w:rsidRPr="007F25A1">
              <w:rPr>
                <w:b/>
                <w:bCs/>
                <w:sz w:val="20"/>
                <w:szCs w:val="20"/>
              </w:rPr>
              <w:t>2 434</w:t>
            </w:r>
          </w:p>
        </w:tc>
        <w:tc>
          <w:tcPr>
            <w:tcW w:w="1052" w:type="dxa"/>
            <w:hideMark/>
          </w:tcPr>
          <w:p w14:paraId="34CA27A8"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b/>
                <w:bCs/>
                <w:sz w:val="20"/>
                <w:szCs w:val="20"/>
              </w:rPr>
            </w:pPr>
            <w:r w:rsidRPr="007F25A1">
              <w:rPr>
                <w:b/>
                <w:bCs/>
                <w:sz w:val="20"/>
                <w:szCs w:val="20"/>
              </w:rPr>
              <w:t>2 596</w:t>
            </w:r>
          </w:p>
        </w:tc>
        <w:tc>
          <w:tcPr>
            <w:tcW w:w="755" w:type="dxa"/>
            <w:hideMark/>
          </w:tcPr>
          <w:p w14:paraId="4A6026EE"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b/>
                <w:bCs/>
                <w:sz w:val="20"/>
                <w:szCs w:val="20"/>
              </w:rPr>
            </w:pPr>
            <w:r w:rsidRPr="007F25A1">
              <w:rPr>
                <w:b/>
                <w:bCs/>
                <w:sz w:val="20"/>
                <w:szCs w:val="20"/>
              </w:rPr>
              <w:t>2 635</w:t>
            </w:r>
          </w:p>
        </w:tc>
        <w:tc>
          <w:tcPr>
            <w:tcW w:w="755" w:type="dxa"/>
            <w:hideMark/>
          </w:tcPr>
          <w:p w14:paraId="65C25C90"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b/>
                <w:bCs/>
                <w:sz w:val="20"/>
                <w:szCs w:val="20"/>
              </w:rPr>
            </w:pPr>
            <w:r w:rsidRPr="007F25A1">
              <w:rPr>
                <w:b/>
                <w:bCs/>
                <w:sz w:val="20"/>
                <w:szCs w:val="20"/>
              </w:rPr>
              <w:t>2 652</w:t>
            </w:r>
          </w:p>
        </w:tc>
      </w:tr>
      <w:tr w:rsidR="00201039" w:rsidRPr="007F25A1" w14:paraId="2E79388E" w14:textId="77777777" w:rsidTr="002D044B">
        <w:trPr>
          <w:trHeight w:val="199"/>
        </w:trPr>
        <w:tc>
          <w:tcPr>
            <w:cnfStyle w:val="001000000000" w:firstRow="0" w:lastRow="0" w:firstColumn="1" w:lastColumn="0" w:oddVBand="0" w:evenVBand="0" w:oddHBand="0" w:evenHBand="0" w:firstRowFirstColumn="0" w:firstRowLastColumn="0" w:lastRowFirstColumn="0" w:lastRowLastColumn="0"/>
            <w:tcW w:w="2072" w:type="dxa"/>
            <w:hideMark/>
          </w:tcPr>
          <w:p w14:paraId="1E4BAF5B" w14:textId="77777777" w:rsidR="00201039" w:rsidRPr="007F25A1" w:rsidRDefault="00201039" w:rsidP="002D044B">
            <w:pPr>
              <w:rPr>
                <w:b w:val="0"/>
                <w:sz w:val="20"/>
                <w:szCs w:val="20"/>
              </w:rPr>
            </w:pPr>
            <w:r w:rsidRPr="007F25A1">
              <w:rPr>
                <w:b w:val="0"/>
                <w:sz w:val="20"/>
                <w:szCs w:val="20"/>
              </w:rPr>
              <w:t>sh keskvalitsus</w:t>
            </w:r>
          </w:p>
        </w:tc>
        <w:tc>
          <w:tcPr>
            <w:tcW w:w="1010" w:type="dxa"/>
            <w:hideMark/>
          </w:tcPr>
          <w:p w14:paraId="5892EB08"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865</w:t>
            </w:r>
          </w:p>
        </w:tc>
        <w:tc>
          <w:tcPr>
            <w:tcW w:w="1052" w:type="dxa"/>
            <w:hideMark/>
          </w:tcPr>
          <w:p w14:paraId="174F7BDC"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1 996</w:t>
            </w:r>
          </w:p>
        </w:tc>
        <w:tc>
          <w:tcPr>
            <w:tcW w:w="1052" w:type="dxa"/>
            <w:hideMark/>
          </w:tcPr>
          <w:p w14:paraId="5F4F5440"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1 796</w:t>
            </w:r>
          </w:p>
        </w:tc>
        <w:tc>
          <w:tcPr>
            <w:tcW w:w="1052" w:type="dxa"/>
            <w:hideMark/>
          </w:tcPr>
          <w:p w14:paraId="01601756"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1 235</w:t>
            </w:r>
          </w:p>
        </w:tc>
        <w:tc>
          <w:tcPr>
            <w:tcW w:w="1052" w:type="dxa"/>
            <w:hideMark/>
          </w:tcPr>
          <w:p w14:paraId="5E6BE9ED"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1 195</w:t>
            </w:r>
          </w:p>
        </w:tc>
        <w:tc>
          <w:tcPr>
            <w:tcW w:w="1052" w:type="dxa"/>
            <w:hideMark/>
          </w:tcPr>
          <w:p w14:paraId="6CF9FEF7"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1 422</w:t>
            </w:r>
          </w:p>
        </w:tc>
        <w:tc>
          <w:tcPr>
            <w:tcW w:w="755" w:type="dxa"/>
            <w:hideMark/>
          </w:tcPr>
          <w:p w14:paraId="4DB7352D"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1 629</w:t>
            </w:r>
          </w:p>
        </w:tc>
        <w:tc>
          <w:tcPr>
            <w:tcW w:w="755" w:type="dxa"/>
            <w:hideMark/>
          </w:tcPr>
          <w:p w14:paraId="087FEB79"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1 775</w:t>
            </w:r>
          </w:p>
        </w:tc>
      </w:tr>
      <w:tr w:rsidR="00201039" w:rsidRPr="007F25A1" w14:paraId="66B02012" w14:textId="77777777" w:rsidTr="002D044B">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072" w:type="dxa"/>
            <w:hideMark/>
          </w:tcPr>
          <w:p w14:paraId="7B7B70E1" w14:textId="77777777" w:rsidR="00201039" w:rsidRPr="007F25A1" w:rsidRDefault="00201039" w:rsidP="002D044B">
            <w:pPr>
              <w:rPr>
                <w:b w:val="0"/>
                <w:sz w:val="20"/>
                <w:szCs w:val="20"/>
              </w:rPr>
            </w:pPr>
            <w:r w:rsidRPr="007F25A1">
              <w:rPr>
                <w:b w:val="0"/>
                <w:sz w:val="20"/>
                <w:szCs w:val="20"/>
              </w:rPr>
              <w:t xml:space="preserve">    kohalikud omavalitsused</w:t>
            </w:r>
          </w:p>
        </w:tc>
        <w:tc>
          <w:tcPr>
            <w:tcW w:w="1010" w:type="dxa"/>
            <w:hideMark/>
          </w:tcPr>
          <w:p w14:paraId="49A66B03"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312</w:t>
            </w:r>
          </w:p>
        </w:tc>
        <w:tc>
          <w:tcPr>
            <w:tcW w:w="1052" w:type="dxa"/>
            <w:hideMark/>
          </w:tcPr>
          <w:p w14:paraId="106434EC"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504</w:t>
            </w:r>
          </w:p>
        </w:tc>
        <w:tc>
          <w:tcPr>
            <w:tcW w:w="1052" w:type="dxa"/>
            <w:hideMark/>
          </w:tcPr>
          <w:p w14:paraId="6F4F0B9C"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481</w:t>
            </w:r>
          </w:p>
        </w:tc>
        <w:tc>
          <w:tcPr>
            <w:tcW w:w="1052" w:type="dxa"/>
            <w:hideMark/>
          </w:tcPr>
          <w:p w14:paraId="467D639F"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460</w:t>
            </w:r>
          </w:p>
        </w:tc>
        <w:tc>
          <w:tcPr>
            <w:tcW w:w="1052" w:type="dxa"/>
            <w:hideMark/>
          </w:tcPr>
          <w:p w14:paraId="53639FA8"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436</w:t>
            </w:r>
          </w:p>
        </w:tc>
        <w:tc>
          <w:tcPr>
            <w:tcW w:w="1052" w:type="dxa"/>
            <w:hideMark/>
          </w:tcPr>
          <w:p w14:paraId="2FF0C227"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414</w:t>
            </w:r>
          </w:p>
        </w:tc>
        <w:tc>
          <w:tcPr>
            <w:tcW w:w="755" w:type="dxa"/>
            <w:hideMark/>
          </w:tcPr>
          <w:p w14:paraId="42552F01"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387</w:t>
            </w:r>
          </w:p>
        </w:tc>
        <w:tc>
          <w:tcPr>
            <w:tcW w:w="755" w:type="dxa"/>
            <w:hideMark/>
          </w:tcPr>
          <w:p w14:paraId="58F91539"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378</w:t>
            </w:r>
          </w:p>
        </w:tc>
      </w:tr>
      <w:tr w:rsidR="00201039" w:rsidRPr="007F25A1" w14:paraId="243A896F" w14:textId="77777777" w:rsidTr="002D044B">
        <w:trPr>
          <w:trHeight w:val="199"/>
        </w:trPr>
        <w:tc>
          <w:tcPr>
            <w:cnfStyle w:val="001000000000" w:firstRow="0" w:lastRow="0" w:firstColumn="1" w:lastColumn="0" w:oddVBand="0" w:evenVBand="0" w:oddHBand="0" w:evenHBand="0" w:firstRowFirstColumn="0" w:firstRowLastColumn="0" w:lastRowFirstColumn="0" w:lastRowLastColumn="0"/>
            <w:tcW w:w="2072" w:type="dxa"/>
            <w:hideMark/>
          </w:tcPr>
          <w:p w14:paraId="0DCB2FC1" w14:textId="77777777" w:rsidR="00201039" w:rsidRPr="007F25A1" w:rsidRDefault="00201039" w:rsidP="002D044B">
            <w:pPr>
              <w:rPr>
                <w:b w:val="0"/>
                <w:sz w:val="20"/>
                <w:szCs w:val="20"/>
              </w:rPr>
            </w:pPr>
            <w:r w:rsidRPr="007F25A1">
              <w:rPr>
                <w:b w:val="0"/>
                <w:sz w:val="20"/>
                <w:szCs w:val="20"/>
              </w:rPr>
              <w:t xml:space="preserve">    sotsiaalkindlustusfondid</w:t>
            </w:r>
          </w:p>
        </w:tc>
        <w:tc>
          <w:tcPr>
            <w:tcW w:w="1010" w:type="dxa"/>
            <w:hideMark/>
          </w:tcPr>
          <w:p w14:paraId="46F3B117"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1 062</w:t>
            </w:r>
          </w:p>
        </w:tc>
        <w:tc>
          <w:tcPr>
            <w:tcW w:w="1052" w:type="dxa"/>
            <w:hideMark/>
          </w:tcPr>
          <w:p w14:paraId="0DDD9F1E"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802</w:t>
            </w:r>
          </w:p>
        </w:tc>
        <w:tc>
          <w:tcPr>
            <w:tcW w:w="1052" w:type="dxa"/>
            <w:hideMark/>
          </w:tcPr>
          <w:p w14:paraId="0A2DFA9F"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909</w:t>
            </w:r>
          </w:p>
        </w:tc>
        <w:tc>
          <w:tcPr>
            <w:tcW w:w="1052" w:type="dxa"/>
            <w:hideMark/>
          </w:tcPr>
          <w:p w14:paraId="20F46C7F"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836</w:t>
            </w:r>
          </w:p>
        </w:tc>
        <w:tc>
          <w:tcPr>
            <w:tcW w:w="1052" w:type="dxa"/>
            <w:hideMark/>
          </w:tcPr>
          <w:p w14:paraId="5BF30998"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804</w:t>
            </w:r>
          </w:p>
        </w:tc>
        <w:tc>
          <w:tcPr>
            <w:tcW w:w="1052" w:type="dxa"/>
            <w:hideMark/>
          </w:tcPr>
          <w:p w14:paraId="15C3F4AC"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759</w:t>
            </w:r>
          </w:p>
        </w:tc>
        <w:tc>
          <w:tcPr>
            <w:tcW w:w="755" w:type="dxa"/>
            <w:hideMark/>
          </w:tcPr>
          <w:p w14:paraId="198E25E8"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619</w:t>
            </w:r>
          </w:p>
        </w:tc>
        <w:tc>
          <w:tcPr>
            <w:tcW w:w="755" w:type="dxa"/>
            <w:hideMark/>
          </w:tcPr>
          <w:p w14:paraId="7D50EA54"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499</w:t>
            </w:r>
          </w:p>
        </w:tc>
      </w:tr>
      <w:tr w:rsidR="00201039" w:rsidRPr="007F25A1" w14:paraId="09F88F32" w14:textId="77777777" w:rsidTr="002D044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72" w:type="dxa"/>
            <w:hideMark/>
          </w:tcPr>
          <w:p w14:paraId="74B736F8" w14:textId="77777777" w:rsidR="00201039" w:rsidRPr="007F25A1" w:rsidRDefault="00201039" w:rsidP="002D044B">
            <w:pPr>
              <w:rPr>
                <w:bCs/>
                <w:sz w:val="20"/>
                <w:szCs w:val="20"/>
              </w:rPr>
            </w:pPr>
            <w:r w:rsidRPr="007F25A1">
              <w:rPr>
                <w:bCs/>
                <w:sz w:val="20"/>
                <w:szCs w:val="20"/>
              </w:rPr>
              <w:t>Finantsvarad kokku (% SKPst)</w:t>
            </w:r>
          </w:p>
        </w:tc>
        <w:tc>
          <w:tcPr>
            <w:tcW w:w="1010" w:type="dxa"/>
            <w:hideMark/>
          </w:tcPr>
          <w:p w14:paraId="33C4CB85"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b/>
                <w:bCs/>
                <w:sz w:val="20"/>
                <w:szCs w:val="20"/>
              </w:rPr>
            </w:pPr>
            <w:r w:rsidRPr="007F25A1">
              <w:rPr>
                <w:b/>
                <w:bCs/>
                <w:sz w:val="20"/>
                <w:szCs w:val="20"/>
              </w:rPr>
              <w:t>8,1</w:t>
            </w:r>
          </w:p>
        </w:tc>
        <w:tc>
          <w:tcPr>
            <w:tcW w:w="1052" w:type="dxa"/>
            <w:hideMark/>
          </w:tcPr>
          <w:p w14:paraId="1FC077DF"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b/>
                <w:bCs/>
                <w:sz w:val="20"/>
                <w:szCs w:val="20"/>
              </w:rPr>
            </w:pPr>
            <w:r w:rsidRPr="007F25A1">
              <w:rPr>
                <w:b/>
                <w:bCs/>
                <w:sz w:val="20"/>
                <w:szCs w:val="20"/>
              </w:rPr>
              <w:t>12,3</w:t>
            </w:r>
          </w:p>
        </w:tc>
        <w:tc>
          <w:tcPr>
            <w:tcW w:w="1052" w:type="dxa"/>
            <w:hideMark/>
          </w:tcPr>
          <w:p w14:paraId="35C37596"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b/>
                <w:bCs/>
                <w:sz w:val="20"/>
                <w:szCs w:val="20"/>
              </w:rPr>
            </w:pPr>
            <w:r w:rsidRPr="007F25A1">
              <w:rPr>
                <w:b/>
                <w:bCs/>
                <w:sz w:val="20"/>
                <w:szCs w:val="20"/>
              </w:rPr>
              <w:t>10,4</w:t>
            </w:r>
          </w:p>
        </w:tc>
        <w:tc>
          <w:tcPr>
            <w:tcW w:w="1052" w:type="dxa"/>
            <w:hideMark/>
          </w:tcPr>
          <w:p w14:paraId="2682D196"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b/>
                <w:bCs/>
                <w:sz w:val="20"/>
                <w:szCs w:val="20"/>
              </w:rPr>
            </w:pPr>
            <w:r w:rsidRPr="007F25A1">
              <w:rPr>
                <w:b/>
                <w:bCs/>
                <w:sz w:val="20"/>
                <w:szCs w:val="20"/>
              </w:rPr>
              <w:t>7,7</w:t>
            </w:r>
          </w:p>
        </w:tc>
        <w:tc>
          <w:tcPr>
            <w:tcW w:w="1052" w:type="dxa"/>
            <w:hideMark/>
          </w:tcPr>
          <w:p w14:paraId="03AF3605"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b/>
                <w:bCs/>
                <w:sz w:val="20"/>
                <w:szCs w:val="20"/>
              </w:rPr>
            </w:pPr>
            <w:r w:rsidRPr="007F25A1">
              <w:rPr>
                <w:b/>
                <w:bCs/>
                <w:sz w:val="20"/>
                <w:szCs w:val="20"/>
              </w:rPr>
              <w:t>7,2</w:t>
            </w:r>
          </w:p>
        </w:tc>
        <w:tc>
          <w:tcPr>
            <w:tcW w:w="1052" w:type="dxa"/>
            <w:hideMark/>
          </w:tcPr>
          <w:p w14:paraId="73B81F13"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b/>
                <w:bCs/>
                <w:sz w:val="20"/>
                <w:szCs w:val="20"/>
              </w:rPr>
            </w:pPr>
            <w:r w:rsidRPr="007F25A1">
              <w:rPr>
                <w:b/>
                <w:bCs/>
                <w:sz w:val="20"/>
                <w:szCs w:val="20"/>
              </w:rPr>
              <w:t>7,3</w:t>
            </w:r>
          </w:p>
        </w:tc>
        <w:tc>
          <w:tcPr>
            <w:tcW w:w="755" w:type="dxa"/>
            <w:hideMark/>
          </w:tcPr>
          <w:p w14:paraId="798D241E"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b/>
                <w:bCs/>
                <w:sz w:val="20"/>
                <w:szCs w:val="20"/>
              </w:rPr>
            </w:pPr>
            <w:r w:rsidRPr="007F25A1">
              <w:rPr>
                <w:b/>
                <w:bCs/>
                <w:sz w:val="20"/>
                <w:szCs w:val="20"/>
              </w:rPr>
              <w:t>7,1</w:t>
            </w:r>
          </w:p>
        </w:tc>
        <w:tc>
          <w:tcPr>
            <w:tcW w:w="755" w:type="dxa"/>
            <w:hideMark/>
          </w:tcPr>
          <w:p w14:paraId="36AF9BCB"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b/>
                <w:bCs/>
                <w:sz w:val="20"/>
                <w:szCs w:val="20"/>
              </w:rPr>
            </w:pPr>
            <w:r w:rsidRPr="007F25A1">
              <w:rPr>
                <w:b/>
                <w:bCs/>
                <w:sz w:val="20"/>
                <w:szCs w:val="20"/>
              </w:rPr>
              <w:t>6,8</w:t>
            </w:r>
          </w:p>
        </w:tc>
      </w:tr>
      <w:tr w:rsidR="00201039" w:rsidRPr="007F25A1" w14:paraId="554195EB" w14:textId="77777777" w:rsidTr="002D044B">
        <w:trPr>
          <w:trHeight w:val="199"/>
        </w:trPr>
        <w:tc>
          <w:tcPr>
            <w:cnfStyle w:val="001000000000" w:firstRow="0" w:lastRow="0" w:firstColumn="1" w:lastColumn="0" w:oddVBand="0" w:evenVBand="0" w:oddHBand="0" w:evenHBand="0" w:firstRowFirstColumn="0" w:firstRowLastColumn="0" w:lastRowFirstColumn="0" w:lastRowLastColumn="0"/>
            <w:tcW w:w="2072" w:type="dxa"/>
            <w:hideMark/>
          </w:tcPr>
          <w:p w14:paraId="1F9A197A" w14:textId="77777777" w:rsidR="00201039" w:rsidRPr="007F25A1" w:rsidRDefault="00201039" w:rsidP="002D044B">
            <w:pPr>
              <w:rPr>
                <w:b w:val="0"/>
                <w:sz w:val="20"/>
                <w:szCs w:val="20"/>
              </w:rPr>
            </w:pPr>
            <w:r w:rsidRPr="007F25A1">
              <w:rPr>
                <w:b w:val="0"/>
                <w:sz w:val="20"/>
                <w:szCs w:val="20"/>
              </w:rPr>
              <w:t>sh keskvalitsus</w:t>
            </w:r>
          </w:p>
        </w:tc>
        <w:tc>
          <w:tcPr>
            <w:tcW w:w="1010" w:type="dxa"/>
            <w:hideMark/>
          </w:tcPr>
          <w:p w14:paraId="75D02C84"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3,1</w:t>
            </w:r>
          </w:p>
        </w:tc>
        <w:tc>
          <w:tcPr>
            <w:tcW w:w="1052" w:type="dxa"/>
            <w:hideMark/>
          </w:tcPr>
          <w:p w14:paraId="4E48C3EE"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7,4</w:t>
            </w:r>
          </w:p>
        </w:tc>
        <w:tc>
          <w:tcPr>
            <w:tcW w:w="1052" w:type="dxa"/>
            <w:hideMark/>
          </w:tcPr>
          <w:p w14:paraId="58916497"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5,9</w:t>
            </w:r>
          </w:p>
        </w:tc>
        <w:tc>
          <w:tcPr>
            <w:tcW w:w="1052" w:type="dxa"/>
            <w:hideMark/>
          </w:tcPr>
          <w:p w14:paraId="5CCCDA9B"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3,8</w:t>
            </w:r>
          </w:p>
        </w:tc>
        <w:tc>
          <w:tcPr>
            <w:tcW w:w="1052" w:type="dxa"/>
            <w:hideMark/>
          </w:tcPr>
          <w:p w14:paraId="39EB5FC6"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3,5</w:t>
            </w:r>
          </w:p>
        </w:tc>
        <w:tc>
          <w:tcPr>
            <w:tcW w:w="1052" w:type="dxa"/>
            <w:hideMark/>
          </w:tcPr>
          <w:p w14:paraId="15C60540"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4,0</w:t>
            </w:r>
          </w:p>
        </w:tc>
        <w:tc>
          <w:tcPr>
            <w:tcW w:w="755" w:type="dxa"/>
            <w:hideMark/>
          </w:tcPr>
          <w:p w14:paraId="68C42550"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4,4</w:t>
            </w:r>
          </w:p>
        </w:tc>
        <w:tc>
          <w:tcPr>
            <w:tcW w:w="755" w:type="dxa"/>
            <w:hideMark/>
          </w:tcPr>
          <w:p w14:paraId="47D86FB0"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4,5</w:t>
            </w:r>
          </w:p>
        </w:tc>
      </w:tr>
      <w:tr w:rsidR="00201039" w:rsidRPr="007F25A1" w14:paraId="12C75836" w14:textId="77777777" w:rsidTr="002D044B">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072" w:type="dxa"/>
            <w:hideMark/>
          </w:tcPr>
          <w:p w14:paraId="50213030" w14:textId="77777777" w:rsidR="00201039" w:rsidRPr="007F25A1" w:rsidRDefault="00201039" w:rsidP="002D044B">
            <w:pPr>
              <w:rPr>
                <w:b w:val="0"/>
                <w:sz w:val="20"/>
                <w:szCs w:val="20"/>
              </w:rPr>
            </w:pPr>
            <w:r w:rsidRPr="007F25A1">
              <w:rPr>
                <w:b w:val="0"/>
                <w:sz w:val="20"/>
                <w:szCs w:val="20"/>
              </w:rPr>
              <w:t>kohalikud omavalitsused</w:t>
            </w:r>
          </w:p>
        </w:tc>
        <w:tc>
          <w:tcPr>
            <w:tcW w:w="1010" w:type="dxa"/>
            <w:hideMark/>
          </w:tcPr>
          <w:p w14:paraId="244276C8"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1,1</w:t>
            </w:r>
          </w:p>
        </w:tc>
        <w:tc>
          <w:tcPr>
            <w:tcW w:w="1052" w:type="dxa"/>
            <w:hideMark/>
          </w:tcPr>
          <w:p w14:paraId="24D3AC3A"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1,9</w:t>
            </w:r>
          </w:p>
        </w:tc>
        <w:tc>
          <w:tcPr>
            <w:tcW w:w="1052" w:type="dxa"/>
            <w:hideMark/>
          </w:tcPr>
          <w:p w14:paraId="6782F12E"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1,6</w:t>
            </w:r>
          </w:p>
        </w:tc>
        <w:tc>
          <w:tcPr>
            <w:tcW w:w="1052" w:type="dxa"/>
            <w:hideMark/>
          </w:tcPr>
          <w:p w14:paraId="256B4FD3"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1,4</w:t>
            </w:r>
          </w:p>
        </w:tc>
        <w:tc>
          <w:tcPr>
            <w:tcW w:w="1052" w:type="dxa"/>
            <w:hideMark/>
          </w:tcPr>
          <w:p w14:paraId="20E20A86"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1,3</w:t>
            </w:r>
          </w:p>
        </w:tc>
        <w:tc>
          <w:tcPr>
            <w:tcW w:w="1052" w:type="dxa"/>
            <w:hideMark/>
          </w:tcPr>
          <w:p w14:paraId="1ABA8B5A"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1,2</w:t>
            </w:r>
          </w:p>
        </w:tc>
        <w:tc>
          <w:tcPr>
            <w:tcW w:w="755" w:type="dxa"/>
            <w:hideMark/>
          </w:tcPr>
          <w:p w14:paraId="0180B8EA"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1,0</w:t>
            </w:r>
          </w:p>
        </w:tc>
        <w:tc>
          <w:tcPr>
            <w:tcW w:w="755" w:type="dxa"/>
            <w:hideMark/>
          </w:tcPr>
          <w:p w14:paraId="4242ABD8" w14:textId="77777777" w:rsidR="00201039" w:rsidRPr="007F25A1" w:rsidRDefault="00201039" w:rsidP="002D044B">
            <w:pPr>
              <w:cnfStyle w:val="000000100000" w:firstRow="0" w:lastRow="0" w:firstColumn="0" w:lastColumn="0" w:oddVBand="0" w:evenVBand="0" w:oddHBand="1" w:evenHBand="0" w:firstRowFirstColumn="0" w:firstRowLastColumn="0" w:lastRowFirstColumn="0" w:lastRowLastColumn="0"/>
              <w:rPr>
                <w:sz w:val="20"/>
                <w:szCs w:val="20"/>
              </w:rPr>
            </w:pPr>
            <w:r w:rsidRPr="007F25A1">
              <w:rPr>
                <w:sz w:val="20"/>
                <w:szCs w:val="20"/>
              </w:rPr>
              <w:t>1,0</w:t>
            </w:r>
          </w:p>
        </w:tc>
      </w:tr>
      <w:tr w:rsidR="00201039" w:rsidRPr="007F25A1" w14:paraId="5CF3780D" w14:textId="77777777" w:rsidTr="002D044B">
        <w:trPr>
          <w:trHeight w:val="199"/>
        </w:trPr>
        <w:tc>
          <w:tcPr>
            <w:cnfStyle w:val="001000000000" w:firstRow="0" w:lastRow="0" w:firstColumn="1" w:lastColumn="0" w:oddVBand="0" w:evenVBand="0" w:oddHBand="0" w:evenHBand="0" w:firstRowFirstColumn="0" w:firstRowLastColumn="0" w:lastRowFirstColumn="0" w:lastRowLastColumn="0"/>
            <w:tcW w:w="2072" w:type="dxa"/>
            <w:hideMark/>
          </w:tcPr>
          <w:p w14:paraId="048FCD4A" w14:textId="77777777" w:rsidR="00201039" w:rsidRPr="007F25A1" w:rsidRDefault="00201039" w:rsidP="002D044B">
            <w:pPr>
              <w:rPr>
                <w:b w:val="0"/>
                <w:sz w:val="20"/>
                <w:szCs w:val="20"/>
              </w:rPr>
            </w:pPr>
            <w:r w:rsidRPr="007F25A1">
              <w:rPr>
                <w:b w:val="0"/>
                <w:sz w:val="20"/>
                <w:szCs w:val="20"/>
              </w:rPr>
              <w:t>sotsiaalkindlustusfondid</w:t>
            </w:r>
          </w:p>
        </w:tc>
        <w:tc>
          <w:tcPr>
            <w:tcW w:w="1010" w:type="dxa"/>
            <w:hideMark/>
          </w:tcPr>
          <w:p w14:paraId="1BC32FCE"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3,8</w:t>
            </w:r>
          </w:p>
        </w:tc>
        <w:tc>
          <w:tcPr>
            <w:tcW w:w="1052" w:type="dxa"/>
            <w:hideMark/>
          </w:tcPr>
          <w:p w14:paraId="2A0DB3D9"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3,0</w:t>
            </w:r>
          </w:p>
        </w:tc>
        <w:tc>
          <w:tcPr>
            <w:tcW w:w="1052" w:type="dxa"/>
            <w:hideMark/>
          </w:tcPr>
          <w:p w14:paraId="6AB966A5"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3,0</w:t>
            </w:r>
          </w:p>
        </w:tc>
        <w:tc>
          <w:tcPr>
            <w:tcW w:w="1052" w:type="dxa"/>
            <w:hideMark/>
          </w:tcPr>
          <w:p w14:paraId="65A3A779"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2,6</w:t>
            </w:r>
          </w:p>
        </w:tc>
        <w:tc>
          <w:tcPr>
            <w:tcW w:w="1052" w:type="dxa"/>
            <w:hideMark/>
          </w:tcPr>
          <w:p w14:paraId="525CBD80"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2,4</w:t>
            </w:r>
          </w:p>
        </w:tc>
        <w:tc>
          <w:tcPr>
            <w:tcW w:w="1052" w:type="dxa"/>
            <w:hideMark/>
          </w:tcPr>
          <w:p w14:paraId="4ADEAA98"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2,1</w:t>
            </w:r>
          </w:p>
        </w:tc>
        <w:tc>
          <w:tcPr>
            <w:tcW w:w="755" w:type="dxa"/>
            <w:hideMark/>
          </w:tcPr>
          <w:p w14:paraId="5B4373EA"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1,7</w:t>
            </w:r>
          </w:p>
        </w:tc>
        <w:tc>
          <w:tcPr>
            <w:tcW w:w="755" w:type="dxa"/>
            <w:hideMark/>
          </w:tcPr>
          <w:p w14:paraId="45C2CB06" w14:textId="77777777" w:rsidR="00201039" w:rsidRPr="007F25A1" w:rsidRDefault="00201039" w:rsidP="002D044B">
            <w:pPr>
              <w:cnfStyle w:val="000000000000" w:firstRow="0" w:lastRow="0" w:firstColumn="0" w:lastColumn="0" w:oddVBand="0" w:evenVBand="0" w:oddHBand="0" w:evenHBand="0" w:firstRowFirstColumn="0" w:firstRowLastColumn="0" w:lastRowFirstColumn="0" w:lastRowLastColumn="0"/>
              <w:rPr>
                <w:sz w:val="20"/>
                <w:szCs w:val="20"/>
              </w:rPr>
            </w:pPr>
            <w:r w:rsidRPr="007F25A1">
              <w:rPr>
                <w:sz w:val="20"/>
                <w:szCs w:val="20"/>
              </w:rPr>
              <w:t>1,3</w:t>
            </w:r>
          </w:p>
        </w:tc>
      </w:tr>
    </w:tbl>
    <w:p w14:paraId="03516085" w14:textId="77777777" w:rsidR="00201039" w:rsidRDefault="00201039" w:rsidP="00201039">
      <w:pPr>
        <w:rPr>
          <w:rFonts w:ascii="Roboto Condensed" w:hAnsi="Roboto Condensed"/>
          <w:sz w:val="18"/>
        </w:rPr>
      </w:pPr>
      <w:r w:rsidRPr="005E388D">
        <w:rPr>
          <w:rFonts w:ascii="Roboto Condensed" w:hAnsi="Roboto Condensed"/>
          <w:sz w:val="20"/>
          <w:szCs w:val="20"/>
        </w:rPr>
        <w:fldChar w:fldCharType="end"/>
      </w:r>
      <w:r w:rsidRPr="00CF2C31">
        <w:rPr>
          <w:rFonts w:ascii="Roboto Condensed" w:hAnsi="Roboto Condensed"/>
          <w:sz w:val="18"/>
        </w:rPr>
        <w:t>*valitsussektori tasandil konsolideeritud</w:t>
      </w:r>
    </w:p>
    <w:p w14:paraId="54AC00B7" w14:textId="77777777" w:rsidR="00201039" w:rsidRPr="005822EA" w:rsidRDefault="00201039" w:rsidP="00831AD9">
      <w:pPr>
        <w:jc w:val="both"/>
        <w:rPr>
          <w:highlight w:val="yellow"/>
        </w:rPr>
      </w:pPr>
    </w:p>
    <w:p w14:paraId="0A036084" w14:textId="6074D09B" w:rsidR="00DE3672" w:rsidRPr="00831B55" w:rsidRDefault="00EC243C" w:rsidP="00EC243C">
      <w:pPr>
        <w:pStyle w:val="Pealdis"/>
      </w:pPr>
      <w:bookmarkStart w:id="217" w:name="_Ref81861861"/>
      <w:bookmarkStart w:id="218" w:name="_Toc4502680"/>
      <w:bookmarkStart w:id="219" w:name="_Toc100230304"/>
      <w:bookmarkEnd w:id="210"/>
      <w:bookmarkEnd w:id="211"/>
      <w:r w:rsidRPr="00B80522">
        <w:t xml:space="preserve">Tabel </w:t>
      </w:r>
      <w:fldSimple w:instr=" SEQ Tabel \* ARABIC ">
        <w:r w:rsidR="000C04EE">
          <w:rPr>
            <w:noProof/>
          </w:rPr>
          <w:t>19</w:t>
        </w:r>
      </w:fldSimple>
      <w:bookmarkEnd w:id="217"/>
      <w:r w:rsidRPr="00B80522">
        <w:t xml:space="preserve">. </w:t>
      </w:r>
      <w:r w:rsidR="00DE3672" w:rsidRPr="00B80522">
        <w:t>Ühekordsed meetmed ja nende mõju 20</w:t>
      </w:r>
      <w:r w:rsidR="00831B55" w:rsidRPr="00B80522">
        <w:t>20</w:t>
      </w:r>
      <w:r w:rsidR="00DE3672" w:rsidRPr="00B80522">
        <w:t>–202</w:t>
      </w:r>
      <w:r w:rsidR="00831B55" w:rsidRPr="00B80522">
        <w:t>6</w:t>
      </w:r>
      <w:r w:rsidR="00DE3672" w:rsidRPr="00B80522">
        <w:t xml:space="preserve"> (mln eurot)</w:t>
      </w:r>
      <w:bookmarkEnd w:id="218"/>
      <w:bookmarkEnd w:id="219"/>
    </w:p>
    <w:tbl>
      <w:tblPr>
        <w:tblStyle w:val="Peentabel1"/>
        <w:tblW w:w="10194" w:type="dxa"/>
        <w:tblLayout w:type="fixed"/>
        <w:tblLook w:val="04A0" w:firstRow="1" w:lastRow="0" w:firstColumn="1" w:lastColumn="0" w:noHBand="0" w:noVBand="1"/>
      </w:tblPr>
      <w:tblGrid>
        <w:gridCol w:w="3927"/>
        <w:gridCol w:w="786"/>
        <w:gridCol w:w="786"/>
        <w:gridCol w:w="786"/>
        <w:gridCol w:w="782"/>
        <w:gridCol w:w="781"/>
        <w:gridCol w:w="761"/>
        <w:gridCol w:w="803"/>
        <w:gridCol w:w="782"/>
      </w:tblGrid>
      <w:tr w:rsidR="00DE3672" w:rsidRPr="00831B55" w14:paraId="1481789B" w14:textId="77777777" w:rsidTr="005150B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27" w:type="dxa"/>
            <w:noWrap/>
          </w:tcPr>
          <w:p w14:paraId="3E9A5091" w14:textId="77777777" w:rsidR="00DE3672" w:rsidRPr="00B80522" w:rsidRDefault="00DE3672" w:rsidP="005150BF">
            <w:pPr>
              <w:pStyle w:val="Tabelid"/>
            </w:pPr>
            <w:r w:rsidRPr="00B80522">
              <w:t>Meede</w:t>
            </w:r>
          </w:p>
        </w:tc>
        <w:tc>
          <w:tcPr>
            <w:tcW w:w="786" w:type="dxa"/>
          </w:tcPr>
          <w:p w14:paraId="41118F63" w14:textId="7B4DD5D2" w:rsidR="00DE3672" w:rsidRPr="00B80522" w:rsidRDefault="00DE3672" w:rsidP="005A7C71">
            <w:pPr>
              <w:pStyle w:val="Tabelid"/>
              <w:jc w:val="right"/>
              <w:cnfStyle w:val="100000000000" w:firstRow="1" w:lastRow="0" w:firstColumn="0" w:lastColumn="0" w:oddVBand="0" w:evenVBand="0" w:oddHBand="0" w:evenHBand="0" w:firstRowFirstColumn="0" w:firstRowLastColumn="0" w:lastRowFirstColumn="0" w:lastRowLastColumn="0"/>
            </w:pPr>
            <w:r w:rsidRPr="00B80522">
              <w:t>201</w:t>
            </w:r>
            <w:r w:rsidR="00831B55" w:rsidRPr="00B80522">
              <w:t>1</w:t>
            </w:r>
            <w:r w:rsidRPr="00B80522">
              <w:t>-1</w:t>
            </w:r>
            <w:r w:rsidR="00831B55" w:rsidRPr="00B80522">
              <w:t>9</w:t>
            </w:r>
          </w:p>
        </w:tc>
        <w:tc>
          <w:tcPr>
            <w:tcW w:w="786" w:type="dxa"/>
          </w:tcPr>
          <w:p w14:paraId="59B69218" w14:textId="7410DFEF" w:rsidR="00DE3672" w:rsidRPr="00B80522" w:rsidRDefault="00DE3672" w:rsidP="005A7C71">
            <w:pPr>
              <w:pStyle w:val="Tabelid"/>
              <w:jc w:val="right"/>
              <w:cnfStyle w:val="100000000000" w:firstRow="1" w:lastRow="0" w:firstColumn="0" w:lastColumn="0" w:oddVBand="0" w:evenVBand="0" w:oddHBand="0" w:evenHBand="0" w:firstRowFirstColumn="0" w:firstRowLastColumn="0" w:lastRowFirstColumn="0" w:lastRowLastColumn="0"/>
            </w:pPr>
            <w:r w:rsidRPr="00B80522">
              <w:t>20</w:t>
            </w:r>
            <w:r w:rsidR="00831B55" w:rsidRPr="00B80522">
              <w:t>20</w:t>
            </w:r>
          </w:p>
        </w:tc>
        <w:tc>
          <w:tcPr>
            <w:tcW w:w="786" w:type="dxa"/>
            <w:noWrap/>
          </w:tcPr>
          <w:p w14:paraId="4C0F8759" w14:textId="466BBD66" w:rsidR="00DE3672" w:rsidRPr="00B80522" w:rsidRDefault="00DE3672" w:rsidP="005A7C71">
            <w:pPr>
              <w:pStyle w:val="Tabelid"/>
              <w:jc w:val="right"/>
              <w:cnfStyle w:val="100000000000" w:firstRow="1" w:lastRow="0" w:firstColumn="0" w:lastColumn="0" w:oddVBand="0" w:evenVBand="0" w:oddHBand="0" w:evenHBand="0" w:firstRowFirstColumn="0" w:firstRowLastColumn="0" w:lastRowFirstColumn="0" w:lastRowLastColumn="0"/>
            </w:pPr>
            <w:r w:rsidRPr="00B80522">
              <w:t>202</w:t>
            </w:r>
            <w:r w:rsidR="00831B55" w:rsidRPr="00B80522">
              <w:t>1</w:t>
            </w:r>
          </w:p>
        </w:tc>
        <w:tc>
          <w:tcPr>
            <w:tcW w:w="782" w:type="dxa"/>
            <w:noWrap/>
          </w:tcPr>
          <w:p w14:paraId="0AC83900" w14:textId="2E4DC959" w:rsidR="00DE3672" w:rsidRPr="00B80522" w:rsidRDefault="00DE3672" w:rsidP="005A7C71">
            <w:pPr>
              <w:pStyle w:val="Tabelid"/>
              <w:jc w:val="right"/>
              <w:cnfStyle w:val="100000000000" w:firstRow="1" w:lastRow="0" w:firstColumn="0" w:lastColumn="0" w:oddVBand="0" w:evenVBand="0" w:oddHBand="0" w:evenHBand="0" w:firstRowFirstColumn="0" w:firstRowLastColumn="0" w:lastRowFirstColumn="0" w:lastRowLastColumn="0"/>
            </w:pPr>
            <w:r w:rsidRPr="00B80522">
              <w:t>202</w:t>
            </w:r>
            <w:r w:rsidR="00831B55" w:rsidRPr="00B80522">
              <w:t>2</w:t>
            </w:r>
          </w:p>
        </w:tc>
        <w:tc>
          <w:tcPr>
            <w:tcW w:w="781" w:type="dxa"/>
            <w:noWrap/>
          </w:tcPr>
          <w:p w14:paraId="3E3F7C68" w14:textId="79322642" w:rsidR="00DE3672" w:rsidRPr="00B80522" w:rsidRDefault="00DE3672" w:rsidP="005A7C71">
            <w:pPr>
              <w:pStyle w:val="Tabelid"/>
              <w:jc w:val="right"/>
              <w:cnfStyle w:val="100000000000" w:firstRow="1" w:lastRow="0" w:firstColumn="0" w:lastColumn="0" w:oddVBand="0" w:evenVBand="0" w:oddHBand="0" w:evenHBand="0" w:firstRowFirstColumn="0" w:firstRowLastColumn="0" w:lastRowFirstColumn="0" w:lastRowLastColumn="0"/>
            </w:pPr>
            <w:r w:rsidRPr="00B80522">
              <w:t>202</w:t>
            </w:r>
            <w:r w:rsidR="00831B55" w:rsidRPr="00B80522">
              <w:t>3</w:t>
            </w:r>
          </w:p>
        </w:tc>
        <w:tc>
          <w:tcPr>
            <w:tcW w:w="761" w:type="dxa"/>
          </w:tcPr>
          <w:p w14:paraId="24947F98" w14:textId="13F2A465" w:rsidR="00DE3672" w:rsidRPr="00B80522" w:rsidRDefault="00DE3672" w:rsidP="005A7C71">
            <w:pPr>
              <w:pStyle w:val="Tabelid"/>
              <w:jc w:val="right"/>
              <w:cnfStyle w:val="100000000000" w:firstRow="1" w:lastRow="0" w:firstColumn="0" w:lastColumn="0" w:oddVBand="0" w:evenVBand="0" w:oddHBand="0" w:evenHBand="0" w:firstRowFirstColumn="0" w:firstRowLastColumn="0" w:lastRowFirstColumn="0" w:lastRowLastColumn="0"/>
            </w:pPr>
            <w:r w:rsidRPr="00B80522">
              <w:t>202</w:t>
            </w:r>
            <w:r w:rsidR="00831B55" w:rsidRPr="00B80522">
              <w:t>4</w:t>
            </w:r>
          </w:p>
        </w:tc>
        <w:tc>
          <w:tcPr>
            <w:tcW w:w="803" w:type="dxa"/>
          </w:tcPr>
          <w:p w14:paraId="6FEFAD94" w14:textId="5E997841" w:rsidR="00DE3672" w:rsidRPr="00B80522" w:rsidRDefault="00DE3672" w:rsidP="005A7C71">
            <w:pPr>
              <w:pStyle w:val="Tabelid"/>
              <w:jc w:val="right"/>
              <w:cnfStyle w:val="100000000000" w:firstRow="1" w:lastRow="0" w:firstColumn="0" w:lastColumn="0" w:oddVBand="0" w:evenVBand="0" w:oddHBand="0" w:evenHBand="0" w:firstRowFirstColumn="0" w:firstRowLastColumn="0" w:lastRowFirstColumn="0" w:lastRowLastColumn="0"/>
            </w:pPr>
            <w:r w:rsidRPr="00B80522">
              <w:t>202</w:t>
            </w:r>
            <w:r w:rsidR="00831B55" w:rsidRPr="00B80522">
              <w:t>5</w:t>
            </w:r>
          </w:p>
        </w:tc>
        <w:tc>
          <w:tcPr>
            <w:tcW w:w="782" w:type="dxa"/>
          </w:tcPr>
          <w:p w14:paraId="58E2EBEB" w14:textId="40A72CFB" w:rsidR="00DE3672" w:rsidRPr="00B80522" w:rsidRDefault="00DE3672" w:rsidP="005A7C71">
            <w:pPr>
              <w:pStyle w:val="Tabelid"/>
              <w:jc w:val="right"/>
              <w:cnfStyle w:val="100000000000" w:firstRow="1" w:lastRow="0" w:firstColumn="0" w:lastColumn="0" w:oddVBand="0" w:evenVBand="0" w:oddHBand="0" w:evenHBand="0" w:firstRowFirstColumn="0" w:firstRowLastColumn="0" w:lastRowFirstColumn="0" w:lastRowLastColumn="0"/>
            </w:pPr>
            <w:r w:rsidRPr="00B80522">
              <w:t>202</w:t>
            </w:r>
            <w:r w:rsidR="00831B55" w:rsidRPr="00B80522">
              <w:t>6</w:t>
            </w:r>
          </w:p>
        </w:tc>
      </w:tr>
      <w:tr w:rsidR="00DE3672" w:rsidRPr="00831B55" w14:paraId="03C483AD" w14:textId="77777777" w:rsidTr="005150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27" w:type="dxa"/>
            <w:noWrap/>
          </w:tcPr>
          <w:p w14:paraId="45FC8ACE" w14:textId="77777777" w:rsidR="00DE3672" w:rsidRPr="00B80522" w:rsidRDefault="00DE3672" w:rsidP="005150BF">
            <w:pPr>
              <w:pStyle w:val="Tabelid"/>
            </w:pPr>
            <w:r w:rsidRPr="00B80522">
              <w:t>KOV ühinemistoetused</w:t>
            </w:r>
          </w:p>
        </w:tc>
        <w:tc>
          <w:tcPr>
            <w:tcW w:w="786" w:type="dxa"/>
          </w:tcPr>
          <w:p w14:paraId="0465D908" w14:textId="77777777" w:rsidR="00DE3672" w:rsidRPr="00B80522" w:rsidRDefault="00DE3672" w:rsidP="005A7C71">
            <w:pPr>
              <w:pStyle w:val="Tabelid"/>
              <w:jc w:val="right"/>
              <w:cnfStyle w:val="000000100000" w:firstRow="0" w:lastRow="0" w:firstColumn="0" w:lastColumn="0" w:oddVBand="0" w:evenVBand="0" w:oddHBand="1" w:evenHBand="0" w:firstRowFirstColumn="0" w:firstRowLastColumn="0" w:lastRowFirstColumn="0" w:lastRowLastColumn="0"/>
            </w:pPr>
          </w:p>
        </w:tc>
        <w:tc>
          <w:tcPr>
            <w:tcW w:w="786" w:type="dxa"/>
          </w:tcPr>
          <w:p w14:paraId="5243B35D" w14:textId="68756B14" w:rsidR="00DE3672" w:rsidRPr="00B80522" w:rsidRDefault="00DE3672" w:rsidP="005A7C71">
            <w:pPr>
              <w:pStyle w:val="Tabelid"/>
              <w:jc w:val="right"/>
              <w:cnfStyle w:val="000000100000" w:firstRow="0" w:lastRow="0" w:firstColumn="0" w:lastColumn="0" w:oddVBand="0" w:evenVBand="0" w:oddHBand="1" w:evenHBand="0" w:firstRowFirstColumn="0" w:firstRowLastColumn="0" w:lastRowFirstColumn="0" w:lastRowLastColumn="0"/>
            </w:pPr>
          </w:p>
        </w:tc>
        <w:tc>
          <w:tcPr>
            <w:tcW w:w="786" w:type="dxa"/>
            <w:noWrap/>
          </w:tcPr>
          <w:p w14:paraId="0A44DE1D" w14:textId="77777777" w:rsidR="00DE3672" w:rsidRPr="00B80522" w:rsidRDefault="00DE3672" w:rsidP="005A7C71">
            <w:pPr>
              <w:pStyle w:val="Tabelid"/>
              <w:jc w:val="right"/>
              <w:cnfStyle w:val="000000100000" w:firstRow="0" w:lastRow="0" w:firstColumn="0" w:lastColumn="0" w:oddVBand="0" w:evenVBand="0" w:oddHBand="1" w:evenHBand="0" w:firstRowFirstColumn="0" w:firstRowLastColumn="0" w:lastRowFirstColumn="0" w:lastRowLastColumn="0"/>
            </w:pPr>
          </w:p>
        </w:tc>
        <w:tc>
          <w:tcPr>
            <w:tcW w:w="782" w:type="dxa"/>
            <w:noWrap/>
          </w:tcPr>
          <w:p w14:paraId="0F09C486" w14:textId="77777777" w:rsidR="00DE3672" w:rsidRPr="00B80522" w:rsidRDefault="00DE3672" w:rsidP="005A7C71">
            <w:pPr>
              <w:pStyle w:val="Tabelid"/>
              <w:jc w:val="right"/>
              <w:cnfStyle w:val="000000100000" w:firstRow="0" w:lastRow="0" w:firstColumn="0" w:lastColumn="0" w:oddVBand="0" w:evenVBand="0" w:oddHBand="1" w:evenHBand="0" w:firstRowFirstColumn="0" w:firstRowLastColumn="0" w:lastRowFirstColumn="0" w:lastRowLastColumn="0"/>
            </w:pPr>
          </w:p>
        </w:tc>
        <w:tc>
          <w:tcPr>
            <w:tcW w:w="781" w:type="dxa"/>
            <w:noWrap/>
          </w:tcPr>
          <w:p w14:paraId="04C4EED2" w14:textId="77777777" w:rsidR="00DE3672" w:rsidRPr="00B80522" w:rsidRDefault="00DE3672" w:rsidP="005A7C71">
            <w:pPr>
              <w:pStyle w:val="Tabelid"/>
              <w:jc w:val="right"/>
              <w:cnfStyle w:val="000000100000" w:firstRow="0" w:lastRow="0" w:firstColumn="0" w:lastColumn="0" w:oddVBand="0" w:evenVBand="0" w:oddHBand="1" w:evenHBand="0" w:firstRowFirstColumn="0" w:firstRowLastColumn="0" w:lastRowFirstColumn="0" w:lastRowLastColumn="0"/>
            </w:pPr>
          </w:p>
        </w:tc>
        <w:tc>
          <w:tcPr>
            <w:tcW w:w="761" w:type="dxa"/>
          </w:tcPr>
          <w:p w14:paraId="120AB33A" w14:textId="77777777" w:rsidR="00DE3672" w:rsidRPr="00B80522" w:rsidRDefault="00DE3672" w:rsidP="005A7C71">
            <w:pPr>
              <w:pStyle w:val="Tabelid"/>
              <w:jc w:val="right"/>
              <w:cnfStyle w:val="000000100000" w:firstRow="0" w:lastRow="0" w:firstColumn="0" w:lastColumn="0" w:oddVBand="0" w:evenVBand="0" w:oddHBand="1" w:evenHBand="0" w:firstRowFirstColumn="0" w:firstRowLastColumn="0" w:lastRowFirstColumn="0" w:lastRowLastColumn="0"/>
            </w:pPr>
          </w:p>
        </w:tc>
        <w:tc>
          <w:tcPr>
            <w:tcW w:w="803" w:type="dxa"/>
          </w:tcPr>
          <w:p w14:paraId="3F8A6FBE" w14:textId="77777777" w:rsidR="00DE3672" w:rsidRPr="00B80522" w:rsidRDefault="00DE3672" w:rsidP="005A7C71">
            <w:pPr>
              <w:pStyle w:val="Tabelid"/>
              <w:jc w:val="right"/>
              <w:cnfStyle w:val="000000100000" w:firstRow="0" w:lastRow="0" w:firstColumn="0" w:lastColumn="0" w:oddVBand="0" w:evenVBand="0" w:oddHBand="1" w:evenHBand="0" w:firstRowFirstColumn="0" w:firstRowLastColumn="0" w:lastRowFirstColumn="0" w:lastRowLastColumn="0"/>
            </w:pPr>
          </w:p>
        </w:tc>
        <w:tc>
          <w:tcPr>
            <w:tcW w:w="782" w:type="dxa"/>
          </w:tcPr>
          <w:p w14:paraId="3CEDA44A" w14:textId="77777777" w:rsidR="00DE3672" w:rsidRPr="00B80522" w:rsidRDefault="00DE3672" w:rsidP="005A7C71">
            <w:pPr>
              <w:pStyle w:val="Tabelid"/>
              <w:jc w:val="right"/>
              <w:cnfStyle w:val="000000100000" w:firstRow="0" w:lastRow="0" w:firstColumn="0" w:lastColumn="0" w:oddVBand="0" w:evenVBand="0" w:oddHBand="1" w:evenHBand="0" w:firstRowFirstColumn="0" w:firstRowLastColumn="0" w:lastRowFirstColumn="0" w:lastRowLastColumn="0"/>
            </w:pPr>
          </w:p>
        </w:tc>
      </w:tr>
      <w:tr w:rsidR="00DE3672" w:rsidRPr="00831B55" w14:paraId="506BF7F0" w14:textId="77777777" w:rsidTr="005150BF">
        <w:trPr>
          <w:trHeight w:val="255"/>
        </w:trPr>
        <w:tc>
          <w:tcPr>
            <w:cnfStyle w:val="001000000000" w:firstRow="0" w:lastRow="0" w:firstColumn="1" w:lastColumn="0" w:oddVBand="0" w:evenVBand="0" w:oddHBand="0" w:evenHBand="0" w:firstRowFirstColumn="0" w:firstRowLastColumn="0" w:lastRowFirstColumn="0" w:lastRowLastColumn="0"/>
            <w:tcW w:w="3927" w:type="dxa"/>
            <w:noWrap/>
          </w:tcPr>
          <w:p w14:paraId="24FC40B1" w14:textId="77777777" w:rsidR="00DE3672" w:rsidRPr="00B80522" w:rsidRDefault="00DE3672" w:rsidP="005150BF">
            <w:pPr>
              <w:pStyle w:val="Tabelid"/>
            </w:pPr>
            <w:r w:rsidRPr="00B80522">
              <w:t>Pensionisüsteemi teise samba muudatus</w:t>
            </w:r>
          </w:p>
        </w:tc>
        <w:tc>
          <w:tcPr>
            <w:tcW w:w="786" w:type="dxa"/>
          </w:tcPr>
          <w:p w14:paraId="7C4A8CA8" w14:textId="77777777" w:rsidR="00DE3672" w:rsidRPr="00B80522" w:rsidRDefault="00DE3672" w:rsidP="005A7C71">
            <w:pPr>
              <w:pStyle w:val="Tabelid"/>
              <w:jc w:val="right"/>
              <w:cnfStyle w:val="000000000000" w:firstRow="0" w:lastRow="0" w:firstColumn="0" w:lastColumn="0" w:oddVBand="0" w:evenVBand="0" w:oddHBand="0" w:evenHBand="0" w:firstRowFirstColumn="0" w:firstRowLastColumn="0" w:lastRowFirstColumn="0" w:lastRowLastColumn="0"/>
            </w:pPr>
          </w:p>
        </w:tc>
        <w:tc>
          <w:tcPr>
            <w:tcW w:w="786" w:type="dxa"/>
          </w:tcPr>
          <w:p w14:paraId="5302F860" w14:textId="77777777" w:rsidR="00DE3672" w:rsidRPr="00B80522" w:rsidRDefault="00DE3672" w:rsidP="005A7C71">
            <w:pPr>
              <w:pStyle w:val="Tabelid"/>
              <w:jc w:val="right"/>
              <w:cnfStyle w:val="000000000000" w:firstRow="0" w:lastRow="0" w:firstColumn="0" w:lastColumn="0" w:oddVBand="0" w:evenVBand="0" w:oddHBand="0" w:evenHBand="0" w:firstRowFirstColumn="0" w:firstRowLastColumn="0" w:lastRowFirstColumn="0" w:lastRowLastColumn="0"/>
            </w:pPr>
          </w:p>
        </w:tc>
        <w:tc>
          <w:tcPr>
            <w:tcW w:w="786" w:type="dxa"/>
            <w:noWrap/>
          </w:tcPr>
          <w:p w14:paraId="33FF51B8" w14:textId="509305DC" w:rsidR="00DE3672" w:rsidRPr="00B80522" w:rsidRDefault="00831B55" w:rsidP="005A7C71">
            <w:pPr>
              <w:pStyle w:val="Tabelid"/>
              <w:jc w:val="right"/>
              <w:cnfStyle w:val="000000000000" w:firstRow="0" w:lastRow="0" w:firstColumn="0" w:lastColumn="0" w:oddVBand="0" w:evenVBand="0" w:oddHBand="0" w:evenHBand="0" w:firstRowFirstColumn="0" w:firstRowLastColumn="0" w:lastRowFirstColumn="0" w:lastRowLastColumn="0"/>
            </w:pPr>
            <w:r>
              <w:t>296</w:t>
            </w:r>
          </w:p>
        </w:tc>
        <w:tc>
          <w:tcPr>
            <w:tcW w:w="782" w:type="dxa"/>
            <w:noWrap/>
          </w:tcPr>
          <w:p w14:paraId="64EEC753" w14:textId="7B99CC8F" w:rsidR="00DE3672" w:rsidRPr="00B80522" w:rsidRDefault="00831B55" w:rsidP="005A7C71">
            <w:pPr>
              <w:pStyle w:val="Tabelid"/>
              <w:jc w:val="right"/>
              <w:cnfStyle w:val="000000000000" w:firstRow="0" w:lastRow="0" w:firstColumn="0" w:lastColumn="0" w:oddVBand="0" w:evenVBand="0" w:oddHBand="0" w:evenHBand="0" w:firstRowFirstColumn="0" w:firstRowLastColumn="0" w:lastRowFirstColumn="0" w:lastRowLastColumn="0"/>
            </w:pPr>
            <w:r>
              <w:t>80</w:t>
            </w:r>
          </w:p>
        </w:tc>
        <w:tc>
          <w:tcPr>
            <w:tcW w:w="781" w:type="dxa"/>
            <w:noWrap/>
          </w:tcPr>
          <w:p w14:paraId="37619FEF" w14:textId="5649722C" w:rsidR="00DE3672" w:rsidRPr="00B80522" w:rsidRDefault="00DE3672" w:rsidP="005A7C71">
            <w:pPr>
              <w:pStyle w:val="Tabelid"/>
              <w:jc w:val="right"/>
              <w:cnfStyle w:val="000000000000" w:firstRow="0" w:lastRow="0" w:firstColumn="0" w:lastColumn="0" w:oddVBand="0" w:evenVBand="0" w:oddHBand="0" w:evenHBand="0" w:firstRowFirstColumn="0" w:firstRowLastColumn="0" w:lastRowFirstColumn="0" w:lastRowLastColumn="0"/>
            </w:pPr>
          </w:p>
        </w:tc>
        <w:tc>
          <w:tcPr>
            <w:tcW w:w="761" w:type="dxa"/>
          </w:tcPr>
          <w:p w14:paraId="37415311" w14:textId="77777777" w:rsidR="00DE3672" w:rsidRPr="00B80522" w:rsidRDefault="00DE3672" w:rsidP="005A7C71">
            <w:pPr>
              <w:pStyle w:val="Tabelid"/>
              <w:jc w:val="right"/>
              <w:cnfStyle w:val="000000000000" w:firstRow="0" w:lastRow="0" w:firstColumn="0" w:lastColumn="0" w:oddVBand="0" w:evenVBand="0" w:oddHBand="0" w:evenHBand="0" w:firstRowFirstColumn="0" w:firstRowLastColumn="0" w:lastRowFirstColumn="0" w:lastRowLastColumn="0"/>
            </w:pPr>
          </w:p>
        </w:tc>
        <w:tc>
          <w:tcPr>
            <w:tcW w:w="803" w:type="dxa"/>
          </w:tcPr>
          <w:p w14:paraId="601C7257" w14:textId="77777777" w:rsidR="00DE3672" w:rsidRPr="00B80522" w:rsidRDefault="00DE3672" w:rsidP="005A7C71">
            <w:pPr>
              <w:pStyle w:val="Tabelid"/>
              <w:jc w:val="right"/>
              <w:cnfStyle w:val="000000000000" w:firstRow="0" w:lastRow="0" w:firstColumn="0" w:lastColumn="0" w:oddVBand="0" w:evenVBand="0" w:oddHBand="0" w:evenHBand="0" w:firstRowFirstColumn="0" w:firstRowLastColumn="0" w:lastRowFirstColumn="0" w:lastRowLastColumn="0"/>
            </w:pPr>
          </w:p>
        </w:tc>
        <w:tc>
          <w:tcPr>
            <w:tcW w:w="782" w:type="dxa"/>
          </w:tcPr>
          <w:p w14:paraId="3E5B522A" w14:textId="77777777" w:rsidR="00DE3672" w:rsidRPr="00B80522" w:rsidRDefault="00DE3672" w:rsidP="005A7C71">
            <w:pPr>
              <w:pStyle w:val="Tabelid"/>
              <w:jc w:val="right"/>
              <w:cnfStyle w:val="000000000000" w:firstRow="0" w:lastRow="0" w:firstColumn="0" w:lastColumn="0" w:oddVBand="0" w:evenVBand="0" w:oddHBand="0" w:evenHBand="0" w:firstRowFirstColumn="0" w:firstRowLastColumn="0" w:lastRowFirstColumn="0" w:lastRowLastColumn="0"/>
            </w:pPr>
          </w:p>
        </w:tc>
      </w:tr>
      <w:tr w:rsidR="00DE3672" w:rsidRPr="00831B55" w14:paraId="7CC660CB" w14:textId="77777777" w:rsidTr="005150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27" w:type="dxa"/>
            <w:noWrap/>
          </w:tcPr>
          <w:p w14:paraId="5913947E" w14:textId="77777777" w:rsidR="00DE3672" w:rsidRPr="00B80522" w:rsidRDefault="00DE3672" w:rsidP="005150BF">
            <w:pPr>
              <w:pStyle w:val="Tabelid"/>
            </w:pPr>
            <w:r w:rsidRPr="00B80522">
              <w:t>Kokku, mln eurot</w:t>
            </w:r>
          </w:p>
        </w:tc>
        <w:tc>
          <w:tcPr>
            <w:tcW w:w="786" w:type="dxa"/>
          </w:tcPr>
          <w:p w14:paraId="5F348B99" w14:textId="5AADF54C" w:rsidR="00DE3672" w:rsidRPr="00B80522" w:rsidRDefault="00831B55" w:rsidP="005A7C71">
            <w:pPr>
              <w:pStyle w:val="Tabelid"/>
              <w:jc w:val="right"/>
              <w:cnfStyle w:val="000000100000" w:firstRow="0" w:lastRow="0" w:firstColumn="0" w:lastColumn="0" w:oddVBand="0" w:evenVBand="0" w:oddHBand="1" w:evenHBand="0" w:firstRowFirstColumn="0" w:firstRowLastColumn="0" w:lastRowFirstColumn="0" w:lastRowLastColumn="0"/>
            </w:pPr>
            <w:r>
              <w:t>-35</w:t>
            </w:r>
          </w:p>
        </w:tc>
        <w:tc>
          <w:tcPr>
            <w:tcW w:w="786" w:type="dxa"/>
          </w:tcPr>
          <w:p w14:paraId="7DDC6703" w14:textId="5EA8535A" w:rsidR="00DE3672" w:rsidRPr="00B80522" w:rsidRDefault="00831B55" w:rsidP="005A7C71">
            <w:pPr>
              <w:pStyle w:val="Tabelid"/>
              <w:jc w:val="right"/>
              <w:cnfStyle w:val="000000100000" w:firstRow="0" w:lastRow="0" w:firstColumn="0" w:lastColumn="0" w:oddVBand="0" w:evenVBand="0" w:oddHBand="1" w:evenHBand="0" w:firstRowFirstColumn="0" w:firstRowLastColumn="0" w:lastRowFirstColumn="0" w:lastRowLastColumn="0"/>
            </w:pPr>
            <w:r>
              <w:t>0</w:t>
            </w:r>
          </w:p>
        </w:tc>
        <w:tc>
          <w:tcPr>
            <w:tcW w:w="786" w:type="dxa"/>
            <w:noWrap/>
          </w:tcPr>
          <w:p w14:paraId="0B68D6A7" w14:textId="7A928F5D" w:rsidR="00DE3672" w:rsidRPr="00B80522" w:rsidRDefault="00831B55" w:rsidP="005A7C71">
            <w:pPr>
              <w:pStyle w:val="Tabelid"/>
              <w:jc w:val="right"/>
              <w:cnfStyle w:val="000000100000" w:firstRow="0" w:lastRow="0" w:firstColumn="0" w:lastColumn="0" w:oddVBand="0" w:evenVBand="0" w:oddHBand="1" w:evenHBand="0" w:firstRowFirstColumn="0" w:firstRowLastColumn="0" w:lastRowFirstColumn="0" w:lastRowLastColumn="0"/>
            </w:pPr>
            <w:r>
              <w:t>296</w:t>
            </w:r>
          </w:p>
        </w:tc>
        <w:tc>
          <w:tcPr>
            <w:tcW w:w="782" w:type="dxa"/>
            <w:noWrap/>
          </w:tcPr>
          <w:p w14:paraId="4FFF822F" w14:textId="6392E3A9" w:rsidR="00DE3672" w:rsidRPr="00B80522" w:rsidRDefault="00831B55" w:rsidP="005A7C71">
            <w:pPr>
              <w:pStyle w:val="Tabelid"/>
              <w:jc w:val="right"/>
              <w:cnfStyle w:val="000000100000" w:firstRow="0" w:lastRow="0" w:firstColumn="0" w:lastColumn="0" w:oddVBand="0" w:evenVBand="0" w:oddHBand="1" w:evenHBand="0" w:firstRowFirstColumn="0" w:firstRowLastColumn="0" w:lastRowFirstColumn="0" w:lastRowLastColumn="0"/>
            </w:pPr>
            <w:r>
              <w:t>80</w:t>
            </w:r>
          </w:p>
        </w:tc>
        <w:tc>
          <w:tcPr>
            <w:tcW w:w="781" w:type="dxa"/>
            <w:noWrap/>
          </w:tcPr>
          <w:p w14:paraId="183223C9" w14:textId="1534B46C" w:rsidR="00DE3672" w:rsidRPr="00B80522" w:rsidRDefault="00831B55" w:rsidP="005A7C71">
            <w:pPr>
              <w:pStyle w:val="Tabelid"/>
              <w:jc w:val="right"/>
              <w:cnfStyle w:val="000000100000" w:firstRow="0" w:lastRow="0" w:firstColumn="0" w:lastColumn="0" w:oddVBand="0" w:evenVBand="0" w:oddHBand="1" w:evenHBand="0" w:firstRowFirstColumn="0" w:firstRowLastColumn="0" w:lastRowFirstColumn="0" w:lastRowLastColumn="0"/>
            </w:pPr>
            <w:r>
              <w:t>0</w:t>
            </w:r>
          </w:p>
        </w:tc>
        <w:tc>
          <w:tcPr>
            <w:tcW w:w="761" w:type="dxa"/>
          </w:tcPr>
          <w:p w14:paraId="5693A046" w14:textId="77777777" w:rsidR="00DE3672" w:rsidRPr="00B80522" w:rsidRDefault="00DE3672" w:rsidP="005A7C71">
            <w:pPr>
              <w:pStyle w:val="Tabelid"/>
              <w:jc w:val="right"/>
              <w:cnfStyle w:val="000000100000" w:firstRow="0" w:lastRow="0" w:firstColumn="0" w:lastColumn="0" w:oddVBand="0" w:evenVBand="0" w:oddHBand="1" w:evenHBand="0" w:firstRowFirstColumn="0" w:firstRowLastColumn="0" w:lastRowFirstColumn="0" w:lastRowLastColumn="0"/>
            </w:pPr>
            <w:r w:rsidRPr="00B80522">
              <w:t>0</w:t>
            </w:r>
          </w:p>
        </w:tc>
        <w:tc>
          <w:tcPr>
            <w:tcW w:w="803" w:type="dxa"/>
          </w:tcPr>
          <w:p w14:paraId="7878777E" w14:textId="77777777" w:rsidR="00DE3672" w:rsidRPr="00B80522" w:rsidRDefault="00DE3672" w:rsidP="005A7C71">
            <w:pPr>
              <w:pStyle w:val="Tabelid"/>
              <w:jc w:val="right"/>
              <w:cnfStyle w:val="000000100000" w:firstRow="0" w:lastRow="0" w:firstColumn="0" w:lastColumn="0" w:oddVBand="0" w:evenVBand="0" w:oddHBand="1" w:evenHBand="0" w:firstRowFirstColumn="0" w:firstRowLastColumn="0" w:lastRowFirstColumn="0" w:lastRowLastColumn="0"/>
            </w:pPr>
            <w:r w:rsidRPr="00B80522">
              <w:t>0</w:t>
            </w:r>
          </w:p>
        </w:tc>
        <w:tc>
          <w:tcPr>
            <w:tcW w:w="782" w:type="dxa"/>
          </w:tcPr>
          <w:p w14:paraId="408D035A" w14:textId="77777777" w:rsidR="00DE3672" w:rsidRPr="00B80522" w:rsidRDefault="00DE3672" w:rsidP="005A7C71">
            <w:pPr>
              <w:pStyle w:val="Tabelid"/>
              <w:jc w:val="right"/>
              <w:cnfStyle w:val="000000100000" w:firstRow="0" w:lastRow="0" w:firstColumn="0" w:lastColumn="0" w:oddVBand="0" w:evenVBand="0" w:oddHBand="1" w:evenHBand="0" w:firstRowFirstColumn="0" w:firstRowLastColumn="0" w:lastRowFirstColumn="0" w:lastRowLastColumn="0"/>
            </w:pPr>
            <w:r w:rsidRPr="00B80522">
              <w:t>0</w:t>
            </w:r>
          </w:p>
        </w:tc>
      </w:tr>
      <w:tr w:rsidR="00DE3672" w:rsidRPr="005822EA" w14:paraId="4A67A84B" w14:textId="77777777" w:rsidTr="005150BF">
        <w:trPr>
          <w:trHeight w:val="255"/>
        </w:trPr>
        <w:tc>
          <w:tcPr>
            <w:cnfStyle w:val="001000000000" w:firstRow="0" w:lastRow="0" w:firstColumn="1" w:lastColumn="0" w:oddVBand="0" w:evenVBand="0" w:oddHBand="0" w:evenHBand="0" w:firstRowFirstColumn="0" w:firstRowLastColumn="0" w:lastRowFirstColumn="0" w:lastRowLastColumn="0"/>
            <w:tcW w:w="3927" w:type="dxa"/>
            <w:noWrap/>
          </w:tcPr>
          <w:p w14:paraId="617C486D" w14:textId="77777777" w:rsidR="00DE3672" w:rsidRPr="00B80522" w:rsidRDefault="00DE3672" w:rsidP="005150BF">
            <w:pPr>
              <w:pStyle w:val="Tabelid"/>
            </w:pPr>
            <w:r w:rsidRPr="00B80522">
              <w:t>Kokku, % SKPst</w:t>
            </w:r>
          </w:p>
        </w:tc>
        <w:tc>
          <w:tcPr>
            <w:tcW w:w="786" w:type="dxa"/>
          </w:tcPr>
          <w:p w14:paraId="77F36106" w14:textId="66FBB94D" w:rsidR="00DE3672" w:rsidRPr="00B80522" w:rsidRDefault="00831B55" w:rsidP="005A7C71">
            <w:pPr>
              <w:pStyle w:val="Tabelid"/>
              <w:jc w:val="right"/>
              <w:cnfStyle w:val="000000000000" w:firstRow="0" w:lastRow="0" w:firstColumn="0" w:lastColumn="0" w:oddVBand="0" w:evenVBand="0" w:oddHBand="0" w:evenHBand="0" w:firstRowFirstColumn="0" w:firstRowLastColumn="0" w:lastRowFirstColumn="0" w:lastRowLastColumn="0"/>
            </w:pPr>
            <w:r>
              <w:t>-</w:t>
            </w:r>
            <w:r w:rsidR="00DE3672" w:rsidRPr="00B80522">
              <w:t>0,1%</w:t>
            </w:r>
          </w:p>
        </w:tc>
        <w:tc>
          <w:tcPr>
            <w:tcW w:w="786" w:type="dxa"/>
          </w:tcPr>
          <w:p w14:paraId="4EDE24CE" w14:textId="1997245E" w:rsidR="00DE3672" w:rsidRPr="00B80522" w:rsidRDefault="00DE3672" w:rsidP="005A7C71">
            <w:pPr>
              <w:pStyle w:val="Tabelid"/>
              <w:jc w:val="right"/>
              <w:cnfStyle w:val="000000000000" w:firstRow="0" w:lastRow="0" w:firstColumn="0" w:lastColumn="0" w:oddVBand="0" w:evenVBand="0" w:oddHBand="0" w:evenHBand="0" w:firstRowFirstColumn="0" w:firstRowLastColumn="0" w:lastRowFirstColumn="0" w:lastRowLastColumn="0"/>
            </w:pPr>
            <w:r w:rsidRPr="00B80522">
              <w:t>0,</w:t>
            </w:r>
            <w:r w:rsidR="00831B55">
              <w:t>0</w:t>
            </w:r>
            <w:r w:rsidRPr="00B80522">
              <w:t>%</w:t>
            </w:r>
          </w:p>
        </w:tc>
        <w:tc>
          <w:tcPr>
            <w:tcW w:w="786" w:type="dxa"/>
            <w:noWrap/>
          </w:tcPr>
          <w:p w14:paraId="3B36D5F7" w14:textId="565AFC92" w:rsidR="00DE3672" w:rsidRPr="00B80522" w:rsidRDefault="00831B55" w:rsidP="005A7C71">
            <w:pPr>
              <w:pStyle w:val="Tabelid"/>
              <w:jc w:val="right"/>
              <w:cnfStyle w:val="000000000000" w:firstRow="0" w:lastRow="0" w:firstColumn="0" w:lastColumn="0" w:oddVBand="0" w:evenVBand="0" w:oddHBand="0" w:evenHBand="0" w:firstRowFirstColumn="0" w:firstRowLastColumn="0" w:lastRowFirstColumn="0" w:lastRowLastColumn="0"/>
            </w:pPr>
            <w:r>
              <w:t>1</w:t>
            </w:r>
            <w:r w:rsidR="00DE3672" w:rsidRPr="00B80522">
              <w:t>,0%</w:t>
            </w:r>
          </w:p>
        </w:tc>
        <w:tc>
          <w:tcPr>
            <w:tcW w:w="782" w:type="dxa"/>
            <w:noWrap/>
          </w:tcPr>
          <w:p w14:paraId="41BB4A7C" w14:textId="7B983F62" w:rsidR="00DE3672" w:rsidRPr="00B80522" w:rsidRDefault="00831B55" w:rsidP="005A7C71">
            <w:pPr>
              <w:pStyle w:val="Tabelid"/>
              <w:jc w:val="right"/>
              <w:cnfStyle w:val="000000000000" w:firstRow="0" w:lastRow="0" w:firstColumn="0" w:lastColumn="0" w:oddVBand="0" w:evenVBand="0" w:oddHBand="0" w:evenHBand="0" w:firstRowFirstColumn="0" w:firstRowLastColumn="0" w:lastRowFirstColumn="0" w:lastRowLastColumn="0"/>
            </w:pPr>
            <w:r>
              <w:t>0,2</w:t>
            </w:r>
            <w:r w:rsidR="00DE3672" w:rsidRPr="00B80522">
              <w:t>%</w:t>
            </w:r>
          </w:p>
        </w:tc>
        <w:tc>
          <w:tcPr>
            <w:tcW w:w="781" w:type="dxa"/>
            <w:noWrap/>
          </w:tcPr>
          <w:p w14:paraId="49254426" w14:textId="1AC48458" w:rsidR="00DE3672" w:rsidRPr="00B80522" w:rsidRDefault="00DE3672" w:rsidP="005A7C71">
            <w:pPr>
              <w:pStyle w:val="Tabelid"/>
              <w:jc w:val="right"/>
              <w:cnfStyle w:val="000000000000" w:firstRow="0" w:lastRow="0" w:firstColumn="0" w:lastColumn="0" w:oddVBand="0" w:evenVBand="0" w:oddHBand="0" w:evenHBand="0" w:firstRowFirstColumn="0" w:firstRowLastColumn="0" w:lastRowFirstColumn="0" w:lastRowLastColumn="0"/>
            </w:pPr>
            <w:r w:rsidRPr="00B80522">
              <w:t>0,</w:t>
            </w:r>
            <w:r w:rsidR="00831B55">
              <w:t>0</w:t>
            </w:r>
            <w:r w:rsidRPr="00B80522">
              <w:t>%</w:t>
            </w:r>
          </w:p>
        </w:tc>
        <w:tc>
          <w:tcPr>
            <w:tcW w:w="761" w:type="dxa"/>
          </w:tcPr>
          <w:p w14:paraId="35B43C1F" w14:textId="77777777" w:rsidR="00DE3672" w:rsidRPr="00B80522" w:rsidRDefault="00DE3672" w:rsidP="005A7C71">
            <w:pPr>
              <w:pStyle w:val="Tabelid"/>
              <w:jc w:val="right"/>
              <w:cnfStyle w:val="000000000000" w:firstRow="0" w:lastRow="0" w:firstColumn="0" w:lastColumn="0" w:oddVBand="0" w:evenVBand="0" w:oddHBand="0" w:evenHBand="0" w:firstRowFirstColumn="0" w:firstRowLastColumn="0" w:lastRowFirstColumn="0" w:lastRowLastColumn="0"/>
            </w:pPr>
            <w:r w:rsidRPr="00B80522">
              <w:t>0,0%</w:t>
            </w:r>
          </w:p>
        </w:tc>
        <w:tc>
          <w:tcPr>
            <w:tcW w:w="803" w:type="dxa"/>
          </w:tcPr>
          <w:p w14:paraId="5E7354B1" w14:textId="77777777" w:rsidR="00DE3672" w:rsidRPr="00B80522" w:rsidRDefault="00DE3672" w:rsidP="005A7C71">
            <w:pPr>
              <w:pStyle w:val="Tabelid"/>
              <w:jc w:val="right"/>
              <w:cnfStyle w:val="000000000000" w:firstRow="0" w:lastRow="0" w:firstColumn="0" w:lastColumn="0" w:oddVBand="0" w:evenVBand="0" w:oddHBand="0" w:evenHBand="0" w:firstRowFirstColumn="0" w:firstRowLastColumn="0" w:lastRowFirstColumn="0" w:lastRowLastColumn="0"/>
            </w:pPr>
            <w:r w:rsidRPr="00B80522">
              <w:t>0,0%</w:t>
            </w:r>
          </w:p>
        </w:tc>
        <w:tc>
          <w:tcPr>
            <w:tcW w:w="782" w:type="dxa"/>
          </w:tcPr>
          <w:p w14:paraId="0984E591" w14:textId="77777777" w:rsidR="00DE3672" w:rsidRPr="00B63B7E" w:rsidRDefault="00DE3672" w:rsidP="005A7C71">
            <w:pPr>
              <w:pStyle w:val="Tabelid"/>
              <w:jc w:val="right"/>
              <w:cnfStyle w:val="000000000000" w:firstRow="0" w:lastRow="0" w:firstColumn="0" w:lastColumn="0" w:oddVBand="0" w:evenVBand="0" w:oddHBand="0" w:evenHBand="0" w:firstRowFirstColumn="0" w:firstRowLastColumn="0" w:lastRowFirstColumn="0" w:lastRowLastColumn="0"/>
            </w:pPr>
            <w:r w:rsidRPr="00B80522">
              <w:t>0,0%</w:t>
            </w:r>
          </w:p>
        </w:tc>
      </w:tr>
    </w:tbl>
    <w:p w14:paraId="05B01D11" w14:textId="77777777" w:rsidR="00DE3672" w:rsidRPr="005822EA" w:rsidRDefault="00DE3672" w:rsidP="00DE3672">
      <w:pPr>
        <w:pStyle w:val="Mrkus"/>
        <w:jc w:val="both"/>
        <w:rPr>
          <w:szCs w:val="24"/>
        </w:rPr>
      </w:pPr>
      <w:r w:rsidRPr="005822EA">
        <w:t>Allikas: Rahandusministeerium.</w:t>
      </w:r>
    </w:p>
    <w:p w14:paraId="433BF9B4" w14:textId="52074F5B" w:rsidR="005A487A" w:rsidRDefault="005A487A" w:rsidP="00E66452">
      <w:pPr>
        <w:jc w:val="both"/>
        <w:rPr>
          <w:iCs/>
          <w:color w:val="3F4B4B" w:themeColor="accent3" w:themeShade="80"/>
          <w:szCs w:val="18"/>
        </w:rPr>
      </w:pPr>
      <w:r w:rsidRPr="005822EA">
        <w:rPr>
          <w:iCs/>
          <w:color w:val="3F4B4B" w:themeColor="accent3" w:themeShade="80"/>
          <w:szCs w:val="18"/>
        </w:rPr>
        <w:br w:type="page"/>
      </w:r>
    </w:p>
    <w:p w14:paraId="7E0A4B91" w14:textId="75EFB4F7" w:rsidR="007E74DB" w:rsidRDefault="007E74DB" w:rsidP="007E74DB">
      <w:pPr>
        <w:pStyle w:val="Pealdis"/>
        <w:jc w:val="both"/>
      </w:pPr>
      <w:bookmarkStart w:id="220" w:name="_Ref100182344"/>
      <w:bookmarkStart w:id="221" w:name="_Toc100230284"/>
      <w:r>
        <w:lastRenderedPageBreak/>
        <w:t xml:space="preserve">Joonis </w:t>
      </w:r>
      <w:fldSimple w:instr=" SEQ Joonis \* ARABIC ">
        <w:r w:rsidR="000C04EE">
          <w:rPr>
            <w:noProof/>
          </w:rPr>
          <w:t>15</w:t>
        </w:r>
      </w:fldSimple>
      <w:bookmarkEnd w:id="220"/>
      <w:r w:rsidR="000C04EE">
        <w:rPr>
          <w:noProof/>
        </w:rPr>
        <w:t>.</w:t>
      </w:r>
      <w:r>
        <w:t xml:space="preserve"> </w:t>
      </w:r>
      <w:r w:rsidRPr="007E74DB">
        <w:t>Valitsussektori kulutused Euroopa Liidu riikides 2020. aastal (% SKPst)</w:t>
      </w:r>
      <w:bookmarkEnd w:id="221"/>
    </w:p>
    <w:p w14:paraId="7D7C2C13" w14:textId="43F3B305" w:rsidR="007E74DB" w:rsidRDefault="007E74DB" w:rsidP="00E66452">
      <w:pPr>
        <w:jc w:val="both"/>
        <w:rPr>
          <w:iCs/>
          <w:color w:val="3F4B4B" w:themeColor="accent3" w:themeShade="80"/>
          <w:szCs w:val="18"/>
        </w:rPr>
      </w:pPr>
      <w:r>
        <w:rPr>
          <w:noProof/>
        </w:rPr>
        <w:drawing>
          <wp:inline distT="0" distB="0" distL="0" distR="0" wp14:anchorId="50047795" wp14:editId="566C7914">
            <wp:extent cx="6141316" cy="2596342"/>
            <wp:effectExtent l="0" t="0" r="0" b="0"/>
            <wp:docPr id="5" name="Diagramm 5">
              <a:extLst xmlns:a="http://schemas.openxmlformats.org/drawingml/2006/main">
                <a:ext uri="{FF2B5EF4-FFF2-40B4-BE49-F238E27FC236}">
                  <a16:creationId xmlns:a16="http://schemas.microsoft.com/office/drawing/2014/main" id="{00000000-0008-0000-01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A3E323E" w14:textId="07FE4C10" w:rsidR="00DE3722" w:rsidRDefault="00DE3722" w:rsidP="00DE3722">
      <w:pPr>
        <w:pStyle w:val="Pealdis"/>
        <w:jc w:val="both"/>
      </w:pPr>
      <w:bookmarkStart w:id="222" w:name="_Ref100181970"/>
      <w:bookmarkStart w:id="223" w:name="_Toc100230285"/>
      <w:r>
        <w:t xml:space="preserve">Joonis </w:t>
      </w:r>
      <w:fldSimple w:instr=" SEQ Joonis \* ARABIC ">
        <w:r w:rsidR="000C04EE">
          <w:rPr>
            <w:noProof/>
          </w:rPr>
          <w:t>16</w:t>
        </w:r>
      </w:fldSimple>
      <w:bookmarkEnd w:id="222"/>
      <w:r w:rsidR="000C04EE">
        <w:rPr>
          <w:noProof/>
        </w:rPr>
        <w:t>.</w:t>
      </w:r>
      <w:r>
        <w:t xml:space="preserve"> </w:t>
      </w:r>
      <w:r w:rsidRPr="00DE3722">
        <w:t>Valitsussektori kulud valitsemisfunktsiooni järgi Eestis (% SKPst)</w:t>
      </w:r>
      <w:bookmarkEnd w:id="223"/>
    </w:p>
    <w:p w14:paraId="772790D8" w14:textId="328FE266" w:rsidR="00DE3722" w:rsidRDefault="00360303" w:rsidP="00E66452">
      <w:pPr>
        <w:jc w:val="both"/>
        <w:rPr>
          <w:iCs/>
          <w:color w:val="3F4B4B" w:themeColor="accent3" w:themeShade="80"/>
          <w:szCs w:val="18"/>
        </w:rPr>
      </w:pPr>
      <w:r>
        <w:rPr>
          <w:noProof/>
        </w:rPr>
        <w:drawing>
          <wp:inline distT="0" distB="0" distL="0" distR="0" wp14:anchorId="5A431ABC" wp14:editId="7228BB33">
            <wp:extent cx="6141085" cy="3095625"/>
            <wp:effectExtent l="0" t="0" r="0" b="0"/>
            <wp:docPr id="2" name="Diagramm 2">
              <a:extLst xmlns:a="http://schemas.openxmlformats.org/drawingml/2006/main">
                <a:ext uri="{FF2B5EF4-FFF2-40B4-BE49-F238E27FC236}">
                  <a16:creationId xmlns:a16="http://schemas.microsoft.com/office/drawing/2014/main" id="{4EABBFD2-683D-482A-A08B-D50481A590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4ED201F" w14:textId="27F62087" w:rsidR="00297517" w:rsidRDefault="00297517" w:rsidP="00E66452">
      <w:pPr>
        <w:jc w:val="both"/>
        <w:rPr>
          <w:iCs/>
          <w:color w:val="3F4B4B" w:themeColor="accent3" w:themeShade="80"/>
          <w:szCs w:val="18"/>
        </w:rPr>
      </w:pPr>
    </w:p>
    <w:p w14:paraId="284A97A9" w14:textId="107FA853" w:rsidR="002306A1" w:rsidRDefault="002306A1">
      <w:pPr>
        <w:rPr>
          <w:iCs/>
          <w:color w:val="3F4B4B" w:themeColor="accent3" w:themeShade="80"/>
          <w:szCs w:val="18"/>
        </w:rPr>
      </w:pPr>
      <w:r>
        <w:rPr>
          <w:iCs/>
          <w:color w:val="3F4B4B" w:themeColor="accent3" w:themeShade="80"/>
          <w:szCs w:val="18"/>
        </w:rPr>
        <w:br w:type="page"/>
      </w:r>
    </w:p>
    <w:p w14:paraId="6EE75065" w14:textId="77777777" w:rsidR="00F854C1" w:rsidRPr="005822EA" w:rsidRDefault="00F854C1" w:rsidP="00E66452">
      <w:pPr>
        <w:pStyle w:val="Numbritapealkiri"/>
        <w:jc w:val="both"/>
      </w:pPr>
      <w:bookmarkStart w:id="224" w:name="_Toc100230269"/>
      <w:r w:rsidRPr="005822EA">
        <w:lastRenderedPageBreak/>
        <w:t>M</w:t>
      </w:r>
      <w:r w:rsidR="00DD497F" w:rsidRPr="005822EA">
        <w:t>ÄRKUSED</w:t>
      </w:r>
      <w:bookmarkEnd w:id="224"/>
    </w:p>
    <w:sectPr w:rsidR="00F854C1" w:rsidRPr="005822EA" w:rsidSect="0093189D">
      <w:endnotePr>
        <w:numFmt w:val="decimal"/>
      </w:endnotePr>
      <w:pgSz w:w="11906" w:h="16838"/>
      <w:pgMar w:top="964" w:right="964" w:bottom="96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80C01" w14:textId="77777777" w:rsidR="004859A1" w:rsidRDefault="004859A1" w:rsidP="00F854C1">
      <w:r>
        <w:separator/>
      </w:r>
    </w:p>
  </w:endnote>
  <w:endnote w:type="continuationSeparator" w:id="0">
    <w:p w14:paraId="289367DC" w14:textId="77777777" w:rsidR="004859A1" w:rsidRDefault="004859A1" w:rsidP="00F854C1">
      <w:r>
        <w:continuationSeparator/>
      </w:r>
    </w:p>
  </w:endnote>
  <w:endnote w:type="continuationNotice" w:id="1">
    <w:p w14:paraId="4F84D78C" w14:textId="77777777" w:rsidR="004859A1" w:rsidRDefault="004859A1">
      <w:pPr>
        <w:spacing w:after="0"/>
      </w:pPr>
    </w:p>
  </w:endnote>
  <w:endnote w:id="2">
    <w:p w14:paraId="7E2D72FD" w14:textId="77777777" w:rsidR="004859A1" w:rsidRPr="00960B6E" w:rsidRDefault="004859A1" w:rsidP="00E015FB">
      <w:pPr>
        <w:pStyle w:val="Phitekst"/>
        <w:rPr>
          <w:snapToGrid w:val="0"/>
        </w:rPr>
      </w:pPr>
      <w:r w:rsidRPr="005D1EFC">
        <w:rPr>
          <w:rStyle w:val="Lpumrkuseviide"/>
        </w:rPr>
        <w:endnoteRef/>
      </w:r>
      <w:r w:rsidRPr="005D1EFC">
        <w:t xml:space="preserve"> Keskmine vanaduspension (€ kuus 1.aprilli seisuga) on leitud 44-aastase staaži puhul (44 oli ligikaudu keskmine vanaduspensionäride osakute summa 2020. aastal). See sõltub pensioni baasosast, aastahindest ja pensioniindeksist, ega sõltu pensionäride arvust.</w:t>
      </w:r>
    </w:p>
  </w:endnote>
  <w:endnote w:id="3">
    <w:p w14:paraId="54B090D6" w14:textId="77777777" w:rsidR="004859A1" w:rsidRDefault="004859A1" w:rsidP="00C74FB5">
      <w:pPr>
        <w:pStyle w:val="Phitekst"/>
      </w:pPr>
      <w:r>
        <w:rPr>
          <w:rStyle w:val="Lpumrkuseviide"/>
        </w:rPr>
        <w:endnoteRef/>
      </w:r>
      <w:r>
        <w:t xml:space="preserve"> </w:t>
      </w:r>
      <w:r w:rsidRPr="002B6C9E">
        <w:t>Vahel tõlgitakse ka tegeliku või keskmise maksumäärana. Eelistatud mõiste on siiski efektiivne maksumäär, mis omab võrreldes teistega täpsemat tähendust.</w:t>
      </w:r>
    </w:p>
  </w:endnote>
  <w:endnote w:id="4">
    <w:p w14:paraId="0738D62A" w14:textId="61C5985A" w:rsidR="00486B68" w:rsidRDefault="00486B68">
      <w:pPr>
        <w:pStyle w:val="Lpumrkusetekst"/>
      </w:pPr>
      <w:r>
        <w:rPr>
          <w:rStyle w:val="Lpumrkuseviide"/>
        </w:rPr>
        <w:endnoteRef/>
      </w:r>
      <w:r>
        <w:t xml:space="preserve"> </w:t>
      </w:r>
      <w:r w:rsidRPr="00486B68">
        <w:t>Valitsussektori investeeringud on üks osa valitsussektori lõpptarbimiskulutustest ja hõlmavad riigieelarve, kohalike omavalitsuste, Riigi Kinnisvara ASi, sotsiaalkindlustusfondide ning muu keskvalitsuse (sihtasutused, avalik-õiguslikud juriidilised isikud, äriühingud ja mittetulundusühingud) eelarvete vahendeid materiaalse ja immateriaalse põhivara soetamiseks ja renoveerimiseks ning IKT, sõidukite rendi, kaitseotstarbelise erivarustuse ja teadus- ja arendustegevuse majandamiskulusid.</w:t>
      </w:r>
    </w:p>
  </w:endnote>
  <w:endnote w:id="5">
    <w:p w14:paraId="78E710C2" w14:textId="1E707DDE" w:rsidR="001C3FEE" w:rsidRDefault="001C3FEE" w:rsidP="001C3FEE">
      <w:pPr>
        <w:pStyle w:val="Lpumrkusetekst"/>
      </w:pPr>
      <w:r>
        <w:rPr>
          <w:rStyle w:val="Lpumrkuseviide"/>
        </w:rPr>
        <w:endnoteRef/>
      </w:r>
      <w:r>
        <w:t xml:space="preserve"> </w:t>
      </w:r>
      <w:r>
        <w:t xml:space="preserve">Euroopa Nõukogu Arengupank </w:t>
      </w:r>
      <w:r w:rsidRPr="007652BF">
        <w:t>(CEB);</w:t>
      </w:r>
      <w:r>
        <w:rPr>
          <w:rFonts w:ascii="Tahoma" w:hAnsi="Tahoma" w:cs="Tahoma"/>
          <w:color w:val="333333"/>
          <w:sz w:val="21"/>
          <w:szCs w:val="21"/>
          <w:shd w:val="clear" w:color="auto" w:fill="FFFFFF"/>
        </w:rPr>
        <w:t xml:space="preserve"> </w:t>
      </w:r>
      <w:r w:rsidRPr="0032243E">
        <w:t>Eriolukorras töötuseriski leevendamiseks pakutava ajutise toetuse Euroopa rahastu (TERA)</w:t>
      </w:r>
      <w:r w:rsidR="00863E47">
        <w:t>.</w:t>
      </w:r>
    </w:p>
  </w:endnote>
  <w:endnote w:id="6">
    <w:p w14:paraId="5A49517D" w14:textId="77777777" w:rsidR="004859A1" w:rsidRDefault="004859A1" w:rsidP="00BF4084">
      <w:pPr>
        <w:pStyle w:val="Phitekst"/>
      </w:pPr>
      <w:r>
        <w:rPr>
          <w:rStyle w:val="Lpumrkuseviide"/>
        </w:rPr>
        <w:endnoteRef/>
      </w:r>
      <w:r>
        <w:t xml:space="preserve"> </w:t>
      </w:r>
      <w:r>
        <w:t>Keskvalitsuse likviidsed finantsvarad kajastatakse raamatupidamisliku metoodika alusel (alates 2019. aasta kevadisest majandusprognoosist) ning lähtub riigi majandusaasta aruandest. Sotsiaalkindlustusfondide raha, mida hoitakse riigikassas elimineeritakse valitsussektori siseselt ning seega ei kajastu keskvalitsuse likviidsetes varades.</w:t>
      </w:r>
    </w:p>
  </w:endnote>
  <w:endnote w:id="7">
    <w:p w14:paraId="7C0E8BB3" w14:textId="624C2691" w:rsidR="00863E47" w:rsidRDefault="00863E47" w:rsidP="00863E47">
      <w:pPr>
        <w:pStyle w:val="Lpumrkusetekst"/>
      </w:pPr>
      <w:r>
        <w:rPr>
          <w:rStyle w:val="Lpumrkuseviide"/>
        </w:rPr>
        <w:endnoteRef/>
      </w:r>
      <w:r>
        <w:t xml:space="preserve"> </w:t>
      </w:r>
      <w:r>
        <w:t>Euroopa Investeerimispank (EIB)</w:t>
      </w:r>
      <w:r>
        <w:t>.</w:t>
      </w:r>
    </w:p>
  </w:endnote>
  <w:endnote w:id="8">
    <w:p w14:paraId="1AF1B337" w14:textId="42479A20" w:rsidR="00C07299" w:rsidRDefault="00C07299">
      <w:pPr>
        <w:pStyle w:val="Lpumrkusetekst"/>
      </w:pPr>
      <w:r>
        <w:rPr>
          <w:rStyle w:val="Lpumrkuseviide"/>
        </w:rPr>
        <w:endnoteRef/>
      </w:r>
      <w:r>
        <w:t xml:space="preserve"> </w:t>
      </w:r>
      <w:r w:rsidRPr="00C07299">
        <w:t>Sellest elektri osa 1,2%; gaasi osa 0,5% ja mootorikütuse arvele 0,3%.</w:t>
      </w:r>
    </w:p>
  </w:endnote>
  <w:endnote w:id="9">
    <w:p w14:paraId="359F68A0" w14:textId="754D749B" w:rsidR="00B37FC4" w:rsidRDefault="00B37FC4">
      <w:pPr>
        <w:pStyle w:val="Lpumrkusetekst"/>
      </w:pPr>
      <w:r>
        <w:rPr>
          <w:rStyle w:val="Lpumrkuseviide"/>
        </w:rPr>
        <w:endnoteRef/>
      </w:r>
      <w:r>
        <w:t xml:space="preserve"> </w:t>
      </w:r>
      <w:r w:rsidRPr="00B37FC4">
        <w:t>Hinnangud täpsustuvad aja jooksul. Välja on toodud seis, mis meil oli teada prognoosi fikseerimise hetkel.</w:t>
      </w:r>
    </w:p>
  </w:endnote>
  <w:endnote w:id="10">
    <w:p w14:paraId="26E90196" w14:textId="405C107D" w:rsidR="00B37FC4" w:rsidRDefault="00B37FC4">
      <w:pPr>
        <w:pStyle w:val="Lpumrkusetekst"/>
      </w:pPr>
      <w:r>
        <w:rPr>
          <w:rStyle w:val="Lpumrkuseviide"/>
        </w:rPr>
        <w:endnoteRef/>
      </w:r>
      <w:r>
        <w:t xml:space="preserve"> </w:t>
      </w:r>
      <w:hyperlink r:id="rId1" w:history="1">
        <w:r w:rsidRPr="00B3478B">
          <w:rPr>
            <w:rStyle w:val="Hperlink"/>
          </w:rPr>
          <w:t>https://www.oecd.org/els/mig/migration-policy-debates-13.pdf</w:t>
        </w:r>
      </w:hyperlink>
      <w:r>
        <w:t xml:space="preserve"> </w:t>
      </w:r>
    </w:p>
  </w:endnote>
  <w:endnote w:id="11">
    <w:p w14:paraId="3449DF1F" w14:textId="77777777" w:rsidR="004859A1" w:rsidRPr="00566663" w:rsidRDefault="004859A1" w:rsidP="00AB2C28">
      <w:pPr>
        <w:pStyle w:val="Phitekst"/>
        <w:rPr>
          <w:snapToGrid w:val="0"/>
        </w:rPr>
      </w:pPr>
      <w:r>
        <w:rPr>
          <w:rStyle w:val="Lpumrkuseviide"/>
        </w:rPr>
        <w:endnoteRef/>
      </w:r>
      <w:r>
        <w:t xml:space="preserve"> </w:t>
      </w:r>
      <w:r w:rsidRPr="005C120E">
        <w:t>Valitsemisfunktsioonid: 1. üldised valitsussektori tegevused; 2. riigikaitse; 3. avalik kord ja julgeolek; 4. majandus; 5. keskkonnakaitse; 6. elamu- ja kommunaalmajandus; 7. tervishoid; 8. vaba aeg, kultuur ja religioon; 9. haridus; 10. sotsiaalne kaitse.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Roboto Condensed">
    <w:panose1 w:val="02000000000000000000"/>
    <w:charset w:val="BA"/>
    <w:family w:val="auto"/>
    <w:pitch w:val="variable"/>
    <w:sig w:usb0="E00002FF" w:usb1="5000205B" w:usb2="00000020" w:usb3="00000000" w:csb0="0000019F" w:csb1="00000000"/>
  </w:font>
  <w:font w:name="Calibri Light">
    <w:panose1 w:val="020F03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Light">
    <w:panose1 w:val="020B0502040204020203"/>
    <w:charset w:val="BA"/>
    <w:family w:val="swiss"/>
    <w:pitch w:val="variable"/>
    <w:sig w:usb0="E4002EFF" w:usb1="C000E47F" w:usb2="00000009" w:usb3="00000000" w:csb0="000001FF" w:csb1="00000000"/>
  </w:font>
  <w:font w:name="Garamond">
    <w:panose1 w:val="02020404030301010803"/>
    <w:charset w:val="BA"/>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Roboto">
    <w:panose1 w:val="02000000000000000000"/>
    <w:charset w:val="BA"/>
    <w:family w:val="auto"/>
    <w:pitch w:val="variable"/>
    <w:sig w:usb0="E00002FF" w:usb1="5000205B" w:usb2="0000002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E1434" w14:textId="5362ABF3" w:rsidR="004859A1" w:rsidRPr="00913110" w:rsidRDefault="004859A1">
    <w:pPr>
      <w:pStyle w:val="Jalus"/>
      <w:rPr>
        <w:color w:val="806A00" w:themeColor="accent2" w:themeShade="80"/>
      </w:rPr>
    </w:pPr>
    <w:r w:rsidRPr="00913110">
      <w:rPr>
        <w:color w:val="806A00" w:themeColor="accent2" w:themeShade="80"/>
      </w:rPr>
      <w:ptab w:relativeTo="margin" w:alignment="center" w:leader="none"/>
    </w:r>
    <w:r w:rsidRPr="000C2ABA">
      <w:rPr>
        <w:color w:val="806A00" w:themeColor="accent2" w:themeShade="80"/>
      </w:rPr>
      <w:t xml:space="preserve"> </w:t>
    </w:r>
    <w:r w:rsidRPr="000C2ABA">
      <w:rPr>
        <w:rFonts w:ascii="Roboto Condensed" w:hAnsi="Roboto Condensed"/>
        <w:color w:val="806A00" w:themeColor="accent2" w:themeShade="80"/>
      </w:rPr>
      <w:fldChar w:fldCharType="begin"/>
    </w:r>
    <w:r w:rsidRPr="00A31A9C">
      <w:instrText>PAGE    \* MERGEFORMAT</w:instrText>
    </w:r>
    <w:r w:rsidRPr="000C2ABA">
      <w:rPr>
        <w:rFonts w:asciiTheme="majorHAnsi" w:hAnsiTheme="majorHAnsi"/>
        <w:color w:val="806A00" w:themeColor="accent2" w:themeShade="80"/>
      </w:rPr>
      <w:fldChar w:fldCharType="separate"/>
    </w:r>
    <w:r w:rsidR="00ED15B7">
      <w:rPr>
        <w:noProof/>
      </w:rPr>
      <w:t>11</w:t>
    </w:r>
    <w:r w:rsidRPr="000C2ABA">
      <w:rPr>
        <w:rFonts w:asciiTheme="majorHAnsi" w:hAnsiTheme="majorHAnsi"/>
        <w:color w:val="806A00" w:themeColor="accent2" w:themeShade="8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48998" w14:textId="77777777" w:rsidR="004859A1" w:rsidRPr="00913110" w:rsidRDefault="004859A1" w:rsidP="005031E9">
    <w:pPr>
      <w:pStyle w:val="Jalus"/>
      <w:rPr>
        <w:color w:val="806A00" w:themeColor="accent2" w:themeShade="80"/>
      </w:rPr>
    </w:pPr>
  </w:p>
  <w:p w14:paraId="63BF4BE8" w14:textId="77777777" w:rsidR="004859A1" w:rsidRDefault="004859A1">
    <w:pPr>
      <w:pStyle w:val="Jalu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2D9F9" w14:textId="2C4320E9" w:rsidR="004859A1" w:rsidRPr="00204A39" w:rsidRDefault="004859A1" w:rsidP="001D45D8">
    <w:pPr>
      <w:pStyle w:val="Jalus"/>
    </w:pPr>
    <w:r w:rsidRPr="000C2ABA">
      <w:rPr>
        <w:color w:val="806A00" w:themeColor="accent2" w:themeShade="80"/>
      </w:rPr>
      <w:ptab w:relativeTo="margin" w:alignment="center" w:leader="none"/>
    </w:r>
    <w:r w:rsidRPr="000C2ABA">
      <w:rPr>
        <w:color w:val="806A00" w:themeColor="accent2" w:themeShade="80"/>
      </w:rPr>
      <w:t xml:space="preserve"> </w:t>
    </w:r>
    <w:r w:rsidRPr="00204A39">
      <w:fldChar w:fldCharType="begin"/>
    </w:r>
    <w:r w:rsidRPr="001D45D8">
      <w:instrText>PAGE    \* MERGEFORMAT</w:instrText>
    </w:r>
    <w:r w:rsidRPr="00204A39">
      <w:fldChar w:fldCharType="separate"/>
    </w:r>
    <w:r w:rsidR="00ED15B7">
      <w:rPr>
        <w:noProof/>
      </w:rPr>
      <w:t>18</w:t>
    </w:r>
    <w:r w:rsidRPr="00204A39">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041A3" w14:textId="316C3170" w:rsidR="004859A1" w:rsidRPr="00BF42B0" w:rsidRDefault="004859A1" w:rsidP="00F404E2">
    <w:pPr>
      <w:pStyle w:val="Rhutus1"/>
      <w:jc w:val="center"/>
    </w:pPr>
    <w:r w:rsidRPr="00F404E2">
      <w:fldChar w:fldCharType="begin"/>
    </w:r>
    <w:r w:rsidRPr="00F404E2">
      <w:instrText>PAGE    \* MERGEFORMAT</w:instrText>
    </w:r>
    <w:r w:rsidRPr="00F404E2">
      <w:fldChar w:fldCharType="separate"/>
    </w:r>
    <w:r w:rsidR="00ED15B7">
      <w:rPr>
        <w:noProof/>
      </w:rPr>
      <w:t>26</w:t>
    </w:r>
    <w:r w:rsidRPr="00F404E2">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169FF" w14:textId="77777777" w:rsidR="004859A1" w:rsidRPr="00913110" w:rsidRDefault="004859A1" w:rsidP="005031E9">
    <w:pPr>
      <w:pStyle w:val="Jalus"/>
      <w:rPr>
        <w:color w:val="806A00" w:themeColor="accent2" w:themeShade="80"/>
      </w:rPr>
    </w:pPr>
  </w:p>
  <w:p w14:paraId="377C2A16" w14:textId="77777777" w:rsidR="004859A1" w:rsidRDefault="004859A1">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43CA1" w14:textId="77777777" w:rsidR="004859A1" w:rsidRPr="00913110" w:rsidRDefault="004859A1" w:rsidP="005031E9">
    <w:pPr>
      <w:pStyle w:val="Jalus"/>
      <w:rPr>
        <w:color w:val="806A00" w:themeColor="accent2" w:themeShade="80"/>
      </w:rPr>
    </w:pPr>
  </w:p>
  <w:p w14:paraId="41C6DA2F" w14:textId="77777777" w:rsidR="004859A1" w:rsidRDefault="004859A1">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31882" w14:textId="4D19CAFE" w:rsidR="004859A1" w:rsidRPr="00BF42B0" w:rsidRDefault="004859A1" w:rsidP="00F404E2">
    <w:pPr>
      <w:pStyle w:val="Rhutus1"/>
      <w:jc w:val="center"/>
    </w:pPr>
    <w:r w:rsidRPr="00F404E2">
      <w:fldChar w:fldCharType="begin"/>
    </w:r>
    <w:r w:rsidRPr="00F404E2">
      <w:instrText>PAGE    \* MERGEFORMAT</w:instrText>
    </w:r>
    <w:r w:rsidRPr="00F404E2">
      <w:fldChar w:fldCharType="separate"/>
    </w:r>
    <w:r w:rsidR="00ED15B7">
      <w:rPr>
        <w:noProof/>
      </w:rPr>
      <w:t>12</w:t>
    </w:r>
    <w:r w:rsidRPr="00F404E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6B9F6" w14:textId="77777777" w:rsidR="004859A1" w:rsidRPr="00913110" w:rsidRDefault="004859A1" w:rsidP="005031E9">
    <w:pPr>
      <w:pStyle w:val="Jalus"/>
      <w:rPr>
        <w:color w:val="806A00" w:themeColor="accent2" w:themeShade="80"/>
      </w:rPr>
    </w:pPr>
  </w:p>
  <w:p w14:paraId="75C8E47C" w14:textId="77777777" w:rsidR="004859A1" w:rsidRDefault="004859A1">
    <w:pPr>
      <w:pStyle w:val="Jalu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0E258" w14:textId="1AD56B6E" w:rsidR="004859A1" w:rsidRPr="000C2ABA" w:rsidRDefault="004859A1" w:rsidP="00A31A9C">
    <w:pPr>
      <w:pStyle w:val="Jalus"/>
      <w:rPr>
        <w:color w:val="806A00" w:themeColor="accent2" w:themeShade="80"/>
      </w:rPr>
    </w:pPr>
    <w:r w:rsidRPr="000C2ABA">
      <w:ptab w:relativeTo="margin" w:alignment="center" w:leader="none"/>
    </w:r>
    <w:r w:rsidRPr="00BF42B0">
      <w:rPr>
        <w:rStyle w:val="RhutusChar"/>
        <w:bCs/>
      </w:rPr>
      <w:t xml:space="preserve"> </w:t>
    </w:r>
    <w:r w:rsidRPr="00BF42B0">
      <w:rPr>
        <w:rStyle w:val="RhutusChar"/>
        <w:bCs/>
      </w:rPr>
      <w:fldChar w:fldCharType="begin"/>
    </w:r>
    <w:r w:rsidRPr="00BF42B0">
      <w:rPr>
        <w:rStyle w:val="RhutusChar"/>
        <w:bCs/>
      </w:rPr>
      <w:instrText>PAGE    \* MERGEFORMAT</w:instrText>
    </w:r>
    <w:r w:rsidRPr="00BF42B0">
      <w:rPr>
        <w:rStyle w:val="RhutusChar"/>
        <w:bCs/>
      </w:rPr>
      <w:fldChar w:fldCharType="separate"/>
    </w:r>
    <w:r w:rsidR="00ED15B7">
      <w:rPr>
        <w:rStyle w:val="RhutusChar"/>
        <w:bCs/>
        <w:noProof/>
      </w:rPr>
      <w:t>14</w:t>
    </w:r>
    <w:r w:rsidRPr="00BF42B0">
      <w:rPr>
        <w:rStyle w:val="RhutusChar"/>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DB216" w14:textId="77777777" w:rsidR="004859A1" w:rsidRPr="00913110" w:rsidRDefault="004859A1" w:rsidP="005031E9">
    <w:pPr>
      <w:pStyle w:val="Jalus"/>
      <w:rPr>
        <w:color w:val="806A00" w:themeColor="accent2" w:themeShade="80"/>
      </w:rPr>
    </w:pPr>
  </w:p>
  <w:p w14:paraId="2875AC04" w14:textId="77777777" w:rsidR="004859A1" w:rsidRDefault="004859A1">
    <w:pPr>
      <w:pStyle w:val="Jalu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6570C" w14:textId="6911F7A3" w:rsidR="004859A1" w:rsidRPr="00BF42B0" w:rsidRDefault="004859A1" w:rsidP="00BF42B0">
    <w:pPr>
      <w:pStyle w:val="Rhutus1"/>
      <w:jc w:val="center"/>
    </w:pPr>
    <w:r w:rsidRPr="00BF42B0">
      <w:rPr>
        <w:rFonts w:eastAsiaTheme="minorEastAsia"/>
      </w:rPr>
      <w:fldChar w:fldCharType="begin"/>
    </w:r>
    <w:r w:rsidRPr="00BF42B0">
      <w:instrText>PAGE    \* MERGEFORMAT</w:instrText>
    </w:r>
    <w:r w:rsidRPr="00BF42B0">
      <w:rPr>
        <w:rFonts w:eastAsiaTheme="minorEastAsia"/>
      </w:rPr>
      <w:fldChar w:fldCharType="separate"/>
    </w:r>
    <w:r w:rsidR="00ED15B7" w:rsidRPr="00ED15B7">
      <w:rPr>
        <w:rFonts w:eastAsiaTheme="majorEastAsia" w:cstheme="majorBidi"/>
        <w:noProof/>
      </w:rPr>
      <w:t>16</w:t>
    </w:r>
    <w:r w:rsidRPr="00BF42B0">
      <w:rPr>
        <w:rFonts w:eastAsiaTheme="majorEastAsia" w:cstheme="majorBid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CC97" w14:textId="77777777" w:rsidR="004859A1" w:rsidRPr="00913110" w:rsidRDefault="004859A1" w:rsidP="005031E9">
    <w:pPr>
      <w:pStyle w:val="Jalus"/>
      <w:rPr>
        <w:color w:val="806A00" w:themeColor="accent2" w:themeShade="80"/>
      </w:rPr>
    </w:pPr>
  </w:p>
  <w:p w14:paraId="7CAE68FC" w14:textId="77777777" w:rsidR="004859A1" w:rsidRDefault="004859A1">
    <w:pPr>
      <w:pStyle w:val="Jalu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2FD7F" w14:textId="77777777" w:rsidR="004859A1" w:rsidRPr="00BF42B0" w:rsidRDefault="004859A1" w:rsidP="00F404E2">
    <w:pPr>
      <w:pStyle w:val="Rhutus1"/>
      <w:jc w:val="center"/>
    </w:pPr>
    <w:r w:rsidRPr="00F404E2">
      <w:fldChar w:fldCharType="begin"/>
    </w:r>
    <w:r w:rsidRPr="00F404E2">
      <w:instrText>PAGE    \* MERGEFORMAT</w:instrText>
    </w:r>
    <w:r w:rsidRPr="00F404E2">
      <w:fldChar w:fldCharType="separate"/>
    </w:r>
    <w:r>
      <w:rPr>
        <w:noProof/>
      </w:rPr>
      <w:t>24</w:t>
    </w:r>
    <w:r w:rsidRPr="00F404E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30C7B" w14:textId="77777777" w:rsidR="004859A1" w:rsidRDefault="004859A1" w:rsidP="00F854C1">
      <w:r>
        <w:separator/>
      </w:r>
    </w:p>
  </w:footnote>
  <w:footnote w:type="continuationSeparator" w:id="0">
    <w:p w14:paraId="04A2F078" w14:textId="77777777" w:rsidR="004859A1" w:rsidRDefault="004859A1" w:rsidP="00F854C1">
      <w:r>
        <w:continuationSeparator/>
      </w:r>
    </w:p>
  </w:footnote>
  <w:footnote w:type="continuationNotice" w:id="1">
    <w:p w14:paraId="045E6F6B" w14:textId="77777777" w:rsidR="004859A1" w:rsidRDefault="004859A1">
      <w:pPr>
        <w:spacing w:after="0"/>
      </w:pPr>
    </w:p>
  </w:footnote>
  <w:footnote w:id="2">
    <w:p w14:paraId="0130D347" w14:textId="77777777" w:rsidR="004859A1" w:rsidRDefault="004859A1" w:rsidP="00F4704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10991"/>
    <w:multiLevelType w:val="multilevel"/>
    <w:tmpl w:val="DC509850"/>
    <w:lvl w:ilvl="0">
      <w:start w:val="1"/>
      <w:numFmt w:val="decimal"/>
      <w:pStyle w:val="Pealkiri1"/>
      <w:lvlText w:val="%1"/>
      <w:lvlJc w:val="left"/>
      <w:pPr>
        <w:ind w:left="432" w:hanging="432"/>
      </w:pPr>
      <w:rPr>
        <w:rFonts w:hint="default"/>
        <w:b/>
        <w:i w:val="0"/>
        <w:color w:val="006EB5"/>
      </w:rPr>
    </w:lvl>
    <w:lvl w:ilvl="1">
      <w:start w:val="1"/>
      <w:numFmt w:val="decimal"/>
      <w:pStyle w:val="Pealkiri2"/>
      <w:lvlText w:val="%1.%2"/>
      <w:lvlJc w:val="left"/>
      <w:pPr>
        <w:ind w:left="576" w:hanging="576"/>
      </w:pPr>
    </w:lvl>
    <w:lvl w:ilvl="2">
      <w:start w:val="1"/>
      <w:numFmt w:val="decimal"/>
      <w:pStyle w:val="Pealkiri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1" w15:restartNumberingAfterBreak="0">
    <w:nsid w:val="309F0767"/>
    <w:multiLevelType w:val="hybridMultilevel"/>
    <w:tmpl w:val="7700D4A8"/>
    <w:lvl w:ilvl="0" w:tplc="9856C2B6">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32326525"/>
    <w:multiLevelType w:val="multilevel"/>
    <w:tmpl w:val="A5CE6CB2"/>
    <w:lvl w:ilvl="0">
      <w:start w:val="1"/>
      <w:numFmt w:val="bullet"/>
      <w:pStyle w:val="Loetelupunktidega"/>
      <w:lvlText w:val=""/>
      <w:lvlJc w:val="left"/>
      <w:pPr>
        <w:ind w:left="340" w:hanging="227"/>
      </w:pPr>
      <w:rPr>
        <w:rFonts w:ascii="Symbol" w:hAnsi="Symbol" w:hint="default"/>
      </w:rPr>
    </w:lvl>
    <w:lvl w:ilvl="1">
      <w:numFmt w:val="bullet"/>
      <w:pStyle w:val="Loetelu2tase"/>
      <w:lvlText w:val="•"/>
      <w:lvlJc w:val="left"/>
      <w:pPr>
        <w:ind w:left="567" w:hanging="227"/>
      </w:pPr>
      <w:rPr>
        <w:rFonts w:ascii="Segoe UI" w:hAnsi="Segoe U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4646C89"/>
    <w:multiLevelType w:val="hybridMultilevel"/>
    <w:tmpl w:val="E2185DDC"/>
    <w:lvl w:ilvl="0" w:tplc="6C242850">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55DA50EB"/>
    <w:multiLevelType w:val="hybridMultilevel"/>
    <w:tmpl w:val="051E991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67514D7A"/>
    <w:multiLevelType w:val="hybridMultilevel"/>
    <w:tmpl w:val="43FA2AAC"/>
    <w:lvl w:ilvl="0" w:tplc="5E5EA2D4">
      <w:start w:val="1"/>
      <w:numFmt w:val="decimal"/>
      <w:pStyle w:val="Tiitellehtpealkiri"/>
      <w:lvlText w:val="%1."/>
      <w:lvlJc w:val="left"/>
      <w:pPr>
        <w:ind w:left="360" w:hanging="360"/>
      </w:pPr>
      <w:rPr>
        <w:rFonts w:ascii="Roboto Condensed" w:hAnsi="Roboto Condensed" w:hint="default"/>
        <w:b/>
        <w:i w:val="0"/>
        <w:color w:val="006EB5"/>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1"/>
  </w:num>
  <w:num w:numId="5">
    <w:abstractNumId w:val="3"/>
  </w:num>
  <w:num w:numId="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GrammaticalErrors/>
  <w:proofState w:spelling="clean" w:grammar="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krzhSniXlhcjIxnvAr/yyrfK3yWQlBy9QN29DgCnNG74i3MQuu8waNhjNYqZDe2T++vUEQVA3zknRVwgUu4K6A==" w:salt="AnsT32Zxi4eGK3twrDm44w=="/>
  <w:defaultTabStop w:val="708"/>
  <w:consecutiveHyphenLimit w:val="2"/>
  <w:hyphenationZone w:val="425"/>
  <w:defaultTableStyle w:val="Peentabel1"/>
  <w:characterSpacingControl w:val="doNotCompress"/>
  <w:hdrShapeDefaults>
    <o:shapedefaults v:ext="edit" spidmax="33792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F3B"/>
    <w:rsid w:val="00000A8A"/>
    <w:rsid w:val="00001727"/>
    <w:rsid w:val="00001EC7"/>
    <w:rsid w:val="00002C75"/>
    <w:rsid w:val="00003AB3"/>
    <w:rsid w:val="00003FB3"/>
    <w:rsid w:val="000063A2"/>
    <w:rsid w:val="0000662F"/>
    <w:rsid w:val="000074DF"/>
    <w:rsid w:val="00007B50"/>
    <w:rsid w:val="00010333"/>
    <w:rsid w:val="000106EB"/>
    <w:rsid w:val="00011D2C"/>
    <w:rsid w:val="0001206D"/>
    <w:rsid w:val="0001254E"/>
    <w:rsid w:val="000141AF"/>
    <w:rsid w:val="000164D8"/>
    <w:rsid w:val="000169D2"/>
    <w:rsid w:val="00020170"/>
    <w:rsid w:val="000201CC"/>
    <w:rsid w:val="00021311"/>
    <w:rsid w:val="000216A1"/>
    <w:rsid w:val="00022BDA"/>
    <w:rsid w:val="000233B9"/>
    <w:rsid w:val="000254F7"/>
    <w:rsid w:val="0002574E"/>
    <w:rsid w:val="0002749A"/>
    <w:rsid w:val="000308DF"/>
    <w:rsid w:val="000309D2"/>
    <w:rsid w:val="00031A93"/>
    <w:rsid w:val="00031CA0"/>
    <w:rsid w:val="000320D2"/>
    <w:rsid w:val="000357FE"/>
    <w:rsid w:val="00037170"/>
    <w:rsid w:val="00040388"/>
    <w:rsid w:val="00041CB3"/>
    <w:rsid w:val="00042F16"/>
    <w:rsid w:val="000433D8"/>
    <w:rsid w:val="00043791"/>
    <w:rsid w:val="000439D7"/>
    <w:rsid w:val="00044A43"/>
    <w:rsid w:val="000475EF"/>
    <w:rsid w:val="00050CBE"/>
    <w:rsid w:val="00051094"/>
    <w:rsid w:val="0005206D"/>
    <w:rsid w:val="000525E1"/>
    <w:rsid w:val="000525E4"/>
    <w:rsid w:val="00052845"/>
    <w:rsid w:val="00052F1D"/>
    <w:rsid w:val="00054CEB"/>
    <w:rsid w:val="000557B8"/>
    <w:rsid w:val="00060308"/>
    <w:rsid w:val="00060751"/>
    <w:rsid w:val="0006104A"/>
    <w:rsid w:val="00063102"/>
    <w:rsid w:val="00063371"/>
    <w:rsid w:val="00063CD4"/>
    <w:rsid w:val="00063EB4"/>
    <w:rsid w:val="00063EC6"/>
    <w:rsid w:val="00064144"/>
    <w:rsid w:val="0006521C"/>
    <w:rsid w:val="00065C0A"/>
    <w:rsid w:val="000665B0"/>
    <w:rsid w:val="00066D39"/>
    <w:rsid w:val="00066DCE"/>
    <w:rsid w:val="00067B5A"/>
    <w:rsid w:val="00067CE7"/>
    <w:rsid w:val="000720E8"/>
    <w:rsid w:val="000724E5"/>
    <w:rsid w:val="00074460"/>
    <w:rsid w:val="000753CD"/>
    <w:rsid w:val="000758D5"/>
    <w:rsid w:val="00076094"/>
    <w:rsid w:val="00076F97"/>
    <w:rsid w:val="0007781C"/>
    <w:rsid w:val="000817A5"/>
    <w:rsid w:val="000820D9"/>
    <w:rsid w:val="0008310B"/>
    <w:rsid w:val="00083689"/>
    <w:rsid w:val="0008388F"/>
    <w:rsid w:val="00083F21"/>
    <w:rsid w:val="00084360"/>
    <w:rsid w:val="0008467A"/>
    <w:rsid w:val="00085095"/>
    <w:rsid w:val="00087B99"/>
    <w:rsid w:val="00090B3C"/>
    <w:rsid w:val="00091375"/>
    <w:rsid w:val="00091A91"/>
    <w:rsid w:val="00093E30"/>
    <w:rsid w:val="0009450C"/>
    <w:rsid w:val="00094837"/>
    <w:rsid w:val="00096F8E"/>
    <w:rsid w:val="00097E4C"/>
    <w:rsid w:val="000A1A8C"/>
    <w:rsid w:val="000A325E"/>
    <w:rsid w:val="000A3B9C"/>
    <w:rsid w:val="000A416D"/>
    <w:rsid w:val="000A59F9"/>
    <w:rsid w:val="000A6902"/>
    <w:rsid w:val="000B11D7"/>
    <w:rsid w:val="000B1B38"/>
    <w:rsid w:val="000B4682"/>
    <w:rsid w:val="000B5176"/>
    <w:rsid w:val="000B5734"/>
    <w:rsid w:val="000B5B9A"/>
    <w:rsid w:val="000B7497"/>
    <w:rsid w:val="000B7B63"/>
    <w:rsid w:val="000C04EE"/>
    <w:rsid w:val="000C0627"/>
    <w:rsid w:val="000C0C5B"/>
    <w:rsid w:val="000C18FD"/>
    <w:rsid w:val="000C2ABA"/>
    <w:rsid w:val="000C3B0F"/>
    <w:rsid w:val="000C4DC5"/>
    <w:rsid w:val="000C691B"/>
    <w:rsid w:val="000C6A40"/>
    <w:rsid w:val="000C7A3D"/>
    <w:rsid w:val="000C7D61"/>
    <w:rsid w:val="000D0507"/>
    <w:rsid w:val="000D1B7D"/>
    <w:rsid w:val="000D39E0"/>
    <w:rsid w:val="000D4675"/>
    <w:rsid w:val="000D47C6"/>
    <w:rsid w:val="000D52B8"/>
    <w:rsid w:val="000D6B2E"/>
    <w:rsid w:val="000D72E2"/>
    <w:rsid w:val="000E1046"/>
    <w:rsid w:val="000E1C30"/>
    <w:rsid w:val="000E201D"/>
    <w:rsid w:val="000E2C0C"/>
    <w:rsid w:val="000E2C47"/>
    <w:rsid w:val="000E2D38"/>
    <w:rsid w:val="000E306F"/>
    <w:rsid w:val="000E3076"/>
    <w:rsid w:val="000E3BCB"/>
    <w:rsid w:val="000E59D6"/>
    <w:rsid w:val="000F181D"/>
    <w:rsid w:val="000F40F7"/>
    <w:rsid w:val="000F41AB"/>
    <w:rsid w:val="000F4A40"/>
    <w:rsid w:val="000F5CEF"/>
    <w:rsid w:val="001007B4"/>
    <w:rsid w:val="001007D1"/>
    <w:rsid w:val="00101812"/>
    <w:rsid w:val="001047FB"/>
    <w:rsid w:val="0010482F"/>
    <w:rsid w:val="00104B3E"/>
    <w:rsid w:val="00105302"/>
    <w:rsid w:val="0010545C"/>
    <w:rsid w:val="00105AA5"/>
    <w:rsid w:val="0010654B"/>
    <w:rsid w:val="001107B7"/>
    <w:rsid w:val="001113B9"/>
    <w:rsid w:val="00112E90"/>
    <w:rsid w:val="001136E9"/>
    <w:rsid w:val="0011377B"/>
    <w:rsid w:val="00114FE9"/>
    <w:rsid w:val="00116D1B"/>
    <w:rsid w:val="00116DCD"/>
    <w:rsid w:val="001174B7"/>
    <w:rsid w:val="001205E5"/>
    <w:rsid w:val="001214E8"/>
    <w:rsid w:val="00123C91"/>
    <w:rsid w:val="00125264"/>
    <w:rsid w:val="00125EDB"/>
    <w:rsid w:val="0012656C"/>
    <w:rsid w:val="00126BA6"/>
    <w:rsid w:val="00130D4A"/>
    <w:rsid w:val="00133B74"/>
    <w:rsid w:val="00133FFE"/>
    <w:rsid w:val="00134D51"/>
    <w:rsid w:val="00134EF2"/>
    <w:rsid w:val="0013537F"/>
    <w:rsid w:val="00135A88"/>
    <w:rsid w:val="00135DCF"/>
    <w:rsid w:val="0013602F"/>
    <w:rsid w:val="00136D0D"/>
    <w:rsid w:val="00137FE6"/>
    <w:rsid w:val="001405E8"/>
    <w:rsid w:val="00140690"/>
    <w:rsid w:val="00140CB4"/>
    <w:rsid w:val="001421C3"/>
    <w:rsid w:val="00142206"/>
    <w:rsid w:val="00142779"/>
    <w:rsid w:val="001439C5"/>
    <w:rsid w:val="00144600"/>
    <w:rsid w:val="0014491F"/>
    <w:rsid w:val="00144E64"/>
    <w:rsid w:val="001461A2"/>
    <w:rsid w:val="00146F8C"/>
    <w:rsid w:val="00147A28"/>
    <w:rsid w:val="001504A9"/>
    <w:rsid w:val="0015156C"/>
    <w:rsid w:val="00152232"/>
    <w:rsid w:val="00152401"/>
    <w:rsid w:val="00153507"/>
    <w:rsid w:val="00154774"/>
    <w:rsid w:val="00154EE4"/>
    <w:rsid w:val="00155F38"/>
    <w:rsid w:val="00156A9D"/>
    <w:rsid w:val="001574BA"/>
    <w:rsid w:val="0016011A"/>
    <w:rsid w:val="00161249"/>
    <w:rsid w:val="0016183E"/>
    <w:rsid w:val="00162662"/>
    <w:rsid w:val="0016335D"/>
    <w:rsid w:val="0016377A"/>
    <w:rsid w:val="0016466E"/>
    <w:rsid w:val="00165072"/>
    <w:rsid w:val="00170159"/>
    <w:rsid w:val="0017187E"/>
    <w:rsid w:val="00173B52"/>
    <w:rsid w:val="0017495F"/>
    <w:rsid w:val="0017612C"/>
    <w:rsid w:val="00176433"/>
    <w:rsid w:val="0017701D"/>
    <w:rsid w:val="00177829"/>
    <w:rsid w:val="00177B6A"/>
    <w:rsid w:val="00180EF0"/>
    <w:rsid w:val="001818F0"/>
    <w:rsid w:val="0018207D"/>
    <w:rsid w:val="0018258B"/>
    <w:rsid w:val="00184082"/>
    <w:rsid w:val="00184E53"/>
    <w:rsid w:val="00185437"/>
    <w:rsid w:val="00186A47"/>
    <w:rsid w:val="00186B32"/>
    <w:rsid w:val="00190729"/>
    <w:rsid w:val="00190913"/>
    <w:rsid w:val="00191807"/>
    <w:rsid w:val="0019237B"/>
    <w:rsid w:val="001931F3"/>
    <w:rsid w:val="0019442C"/>
    <w:rsid w:val="00195DA6"/>
    <w:rsid w:val="00196EBE"/>
    <w:rsid w:val="001A00BB"/>
    <w:rsid w:val="001A1296"/>
    <w:rsid w:val="001A196F"/>
    <w:rsid w:val="001A1ECF"/>
    <w:rsid w:val="001A2EFF"/>
    <w:rsid w:val="001A4C18"/>
    <w:rsid w:val="001A6BF9"/>
    <w:rsid w:val="001A776C"/>
    <w:rsid w:val="001B1240"/>
    <w:rsid w:val="001B33AB"/>
    <w:rsid w:val="001B3FC1"/>
    <w:rsid w:val="001B59A7"/>
    <w:rsid w:val="001B67E6"/>
    <w:rsid w:val="001B6B82"/>
    <w:rsid w:val="001B793B"/>
    <w:rsid w:val="001B7BED"/>
    <w:rsid w:val="001C02E9"/>
    <w:rsid w:val="001C0E73"/>
    <w:rsid w:val="001C1B6C"/>
    <w:rsid w:val="001C1BDD"/>
    <w:rsid w:val="001C26E8"/>
    <w:rsid w:val="001C3FEE"/>
    <w:rsid w:val="001C4BE0"/>
    <w:rsid w:val="001C5FEC"/>
    <w:rsid w:val="001C6070"/>
    <w:rsid w:val="001C6780"/>
    <w:rsid w:val="001C6F6C"/>
    <w:rsid w:val="001D2061"/>
    <w:rsid w:val="001D2E25"/>
    <w:rsid w:val="001D2FB3"/>
    <w:rsid w:val="001D33C8"/>
    <w:rsid w:val="001D3CB0"/>
    <w:rsid w:val="001D45D8"/>
    <w:rsid w:val="001D6252"/>
    <w:rsid w:val="001D6BFC"/>
    <w:rsid w:val="001E0776"/>
    <w:rsid w:val="001E1681"/>
    <w:rsid w:val="001E2988"/>
    <w:rsid w:val="001E3A08"/>
    <w:rsid w:val="001E5438"/>
    <w:rsid w:val="001E6262"/>
    <w:rsid w:val="001E6701"/>
    <w:rsid w:val="001E67B1"/>
    <w:rsid w:val="001E6C48"/>
    <w:rsid w:val="001E74EC"/>
    <w:rsid w:val="001E7735"/>
    <w:rsid w:val="001F180C"/>
    <w:rsid w:val="001F219A"/>
    <w:rsid w:val="001F221E"/>
    <w:rsid w:val="001F27D2"/>
    <w:rsid w:val="001F2FBA"/>
    <w:rsid w:val="001F476A"/>
    <w:rsid w:val="001F4DF3"/>
    <w:rsid w:val="001F5C71"/>
    <w:rsid w:val="001F6552"/>
    <w:rsid w:val="001F721F"/>
    <w:rsid w:val="001F7CB5"/>
    <w:rsid w:val="001F7E78"/>
    <w:rsid w:val="00200C4D"/>
    <w:rsid w:val="00201039"/>
    <w:rsid w:val="00201436"/>
    <w:rsid w:val="00201619"/>
    <w:rsid w:val="00203F9D"/>
    <w:rsid w:val="00204A39"/>
    <w:rsid w:val="002077D6"/>
    <w:rsid w:val="0021045E"/>
    <w:rsid w:val="002110FB"/>
    <w:rsid w:val="002113F4"/>
    <w:rsid w:val="0021242F"/>
    <w:rsid w:val="00212603"/>
    <w:rsid w:val="002129B5"/>
    <w:rsid w:val="0021345A"/>
    <w:rsid w:val="00215AEF"/>
    <w:rsid w:val="00215F06"/>
    <w:rsid w:val="00217058"/>
    <w:rsid w:val="002172A1"/>
    <w:rsid w:val="002172A7"/>
    <w:rsid w:val="00217B0A"/>
    <w:rsid w:val="002208FD"/>
    <w:rsid w:val="0022091B"/>
    <w:rsid w:val="0022147C"/>
    <w:rsid w:val="002217E6"/>
    <w:rsid w:val="00221E85"/>
    <w:rsid w:val="002220C8"/>
    <w:rsid w:val="00222C7F"/>
    <w:rsid w:val="002249F4"/>
    <w:rsid w:val="00226766"/>
    <w:rsid w:val="00226C80"/>
    <w:rsid w:val="002276FE"/>
    <w:rsid w:val="0022791C"/>
    <w:rsid w:val="00227AB5"/>
    <w:rsid w:val="002306A1"/>
    <w:rsid w:val="0023193D"/>
    <w:rsid w:val="00232855"/>
    <w:rsid w:val="00232A68"/>
    <w:rsid w:val="00233003"/>
    <w:rsid w:val="00234783"/>
    <w:rsid w:val="00235024"/>
    <w:rsid w:val="00235993"/>
    <w:rsid w:val="0023610E"/>
    <w:rsid w:val="002367B1"/>
    <w:rsid w:val="00237FB6"/>
    <w:rsid w:val="002406C2"/>
    <w:rsid w:val="0024192F"/>
    <w:rsid w:val="00241FE1"/>
    <w:rsid w:val="002427B8"/>
    <w:rsid w:val="00242A85"/>
    <w:rsid w:val="002447B1"/>
    <w:rsid w:val="002466E6"/>
    <w:rsid w:val="00251411"/>
    <w:rsid w:val="00251A30"/>
    <w:rsid w:val="00253B54"/>
    <w:rsid w:val="0025424F"/>
    <w:rsid w:val="00254DFA"/>
    <w:rsid w:val="00255275"/>
    <w:rsid w:val="0025643D"/>
    <w:rsid w:val="00256858"/>
    <w:rsid w:val="00256B20"/>
    <w:rsid w:val="00256DB4"/>
    <w:rsid w:val="00256DC2"/>
    <w:rsid w:val="00261BD2"/>
    <w:rsid w:val="00262DB4"/>
    <w:rsid w:val="0026344E"/>
    <w:rsid w:val="00263874"/>
    <w:rsid w:val="00263CCC"/>
    <w:rsid w:val="00263D4E"/>
    <w:rsid w:val="00263E28"/>
    <w:rsid w:val="00263EAD"/>
    <w:rsid w:val="00265A83"/>
    <w:rsid w:val="00265DCA"/>
    <w:rsid w:val="00266536"/>
    <w:rsid w:val="00266561"/>
    <w:rsid w:val="00266BF3"/>
    <w:rsid w:val="00266F38"/>
    <w:rsid w:val="0026700A"/>
    <w:rsid w:val="00267040"/>
    <w:rsid w:val="00270945"/>
    <w:rsid w:val="00270BCD"/>
    <w:rsid w:val="0027196A"/>
    <w:rsid w:val="002719ED"/>
    <w:rsid w:val="00271CEF"/>
    <w:rsid w:val="00271F27"/>
    <w:rsid w:val="00272EA4"/>
    <w:rsid w:val="002736D9"/>
    <w:rsid w:val="00274FC8"/>
    <w:rsid w:val="00275A5E"/>
    <w:rsid w:val="00276D2A"/>
    <w:rsid w:val="00276D48"/>
    <w:rsid w:val="002776F2"/>
    <w:rsid w:val="00280273"/>
    <w:rsid w:val="00281D30"/>
    <w:rsid w:val="00282D33"/>
    <w:rsid w:val="00283B80"/>
    <w:rsid w:val="002840EC"/>
    <w:rsid w:val="00284932"/>
    <w:rsid w:val="00285152"/>
    <w:rsid w:val="002854BE"/>
    <w:rsid w:val="00286EB6"/>
    <w:rsid w:val="002904E8"/>
    <w:rsid w:val="00290512"/>
    <w:rsid w:val="00291948"/>
    <w:rsid w:val="00292A6E"/>
    <w:rsid w:val="00293E0F"/>
    <w:rsid w:val="00294D20"/>
    <w:rsid w:val="00296342"/>
    <w:rsid w:val="00296A97"/>
    <w:rsid w:val="00297481"/>
    <w:rsid w:val="00297517"/>
    <w:rsid w:val="002A05B5"/>
    <w:rsid w:val="002A07D3"/>
    <w:rsid w:val="002A154C"/>
    <w:rsid w:val="002A3084"/>
    <w:rsid w:val="002A4514"/>
    <w:rsid w:val="002A4FD7"/>
    <w:rsid w:val="002A5673"/>
    <w:rsid w:val="002A5DED"/>
    <w:rsid w:val="002A6CA5"/>
    <w:rsid w:val="002B05DD"/>
    <w:rsid w:val="002B30D7"/>
    <w:rsid w:val="002B310C"/>
    <w:rsid w:val="002B347A"/>
    <w:rsid w:val="002B5A52"/>
    <w:rsid w:val="002B6C9E"/>
    <w:rsid w:val="002B76DA"/>
    <w:rsid w:val="002B7F36"/>
    <w:rsid w:val="002C15A9"/>
    <w:rsid w:val="002C1BC2"/>
    <w:rsid w:val="002C2E21"/>
    <w:rsid w:val="002C32A5"/>
    <w:rsid w:val="002C5124"/>
    <w:rsid w:val="002C5468"/>
    <w:rsid w:val="002C6DDA"/>
    <w:rsid w:val="002C6DDF"/>
    <w:rsid w:val="002D0032"/>
    <w:rsid w:val="002D0EA8"/>
    <w:rsid w:val="002D4A0D"/>
    <w:rsid w:val="002D5B59"/>
    <w:rsid w:val="002D69C3"/>
    <w:rsid w:val="002D6BC9"/>
    <w:rsid w:val="002E1047"/>
    <w:rsid w:val="002E24C9"/>
    <w:rsid w:val="002E4EC3"/>
    <w:rsid w:val="002E529F"/>
    <w:rsid w:val="002E75A1"/>
    <w:rsid w:val="002E7DC8"/>
    <w:rsid w:val="002F2507"/>
    <w:rsid w:val="002F291E"/>
    <w:rsid w:val="002F2928"/>
    <w:rsid w:val="002F3D54"/>
    <w:rsid w:val="002F3E04"/>
    <w:rsid w:val="002F4074"/>
    <w:rsid w:val="002F4AC0"/>
    <w:rsid w:val="002F51E6"/>
    <w:rsid w:val="002F542F"/>
    <w:rsid w:val="002F6EE4"/>
    <w:rsid w:val="00300398"/>
    <w:rsid w:val="00300FD0"/>
    <w:rsid w:val="00301CE2"/>
    <w:rsid w:val="0030207E"/>
    <w:rsid w:val="003027FA"/>
    <w:rsid w:val="003029BC"/>
    <w:rsid w:val="00302D78"/>
    <w:rsid w:val="003039CD"/>
    <w:rsid w:val="00303F17"/>
    <w:rsid w:val="00304115"/>
    <w:rsid w:val="003041F9"/>
    <w:rsid w:val="003046B4"/>
    <w:rsid w:val="0030559C"/>
    <w:rsid w:val="00305E0B"/>
    <w:rsid w:val="0030670A"/>
    <w:rsid w:val="0030784B"/>
    <w:rsid w:val="0030793B"/>
    <w:rsid w:val="003079B4"/>
    <w:rsid w:val="00307E7E"/>
    <w:rsid w:val="0031090B"/>
    <w:rsid w:val="00310A45"/>
    <w:rsid w:val="003112BA"/>
    <w:rsid w:val="00311CF6"/>
    <w:rsid w:val="00312FC0"/>
    <w:rsid w:val="00314475"/>
    <w:rsid w:val="00314AE2"/>
    <w:rsid w:val="00314BE5"/>
    <w:rsid w:val="00315E9C"/>
    <w:rsid w:val="003163D3"/>
    <w:rsid w:val="0031726A"/>
    <w:rsid w:val="00317AFD"/>
    <w:rsid w:val="00320660"/>
    <w:rsid w:val="003212DA"/>
    <w:rsid w:val="00321454"/>
    <w:rsid w:val="0032243E"/>
    <w:rsid w:val="003239E8"/>
    <w:rsid w:val="00324411"/>
    <w:rsid w:val="00324DED"/>
    <w:rsid w:val="0032563D"/>
    <w:rsid w:val="00325CF0"/>
    <w:rsid w:val="00325E30"/>
    <w:rsid w:val="0032671F"/>
    <w:rsid w:val="00327428"/>
    <w:rsid w:val="003302D8"/>
    <w:rsid w:val="00330353"/>
    <w:rsid w:val="003309F4"/>
    <w:rsid w:val="00331C7C"/>
    <w:rsid w:val="003343EB"/>
    <w:rsid w:val="00335555"/>
    <w:rsid w:val="00336182"/>
    <w:rsid w:val="003362FC"/>
    <w:rsid w:val="0033653A"/>
    <w:rsid w:val="00337168"/>
    <w:rsid w:val="00337369"/>
    <w:rsid w:val="00337569"/>
    <w:rsid w:val="0034030A"/>
    <w:rsid w:val="00340AD7"/>
    <w:rsid w:val="00340E8E"/>
    <w:rsid w:val="003418D8"/>
    <w:rsid w:val="003428F6"/>
    <w:rsid w:val="00343F70"/>
    <w:rsid w:val="00344E8B"/>
    <w:rsid w:val="00346DD3"/>
    <w:rsid w:val="00347B54"/>
    <w:rsid w:val="00350420"/>
    <w:rsid w:val="00350EC2"/>
    <w:rsid w:val="0035175F"/>
    <w:rsid w:val="00351936"/>
    <w:rsid w:val="003521A0"/>
    <w:rsid w:val="00352D92"/>
    <w:rsid w:val="00353B05"/>
    <w:rsid w:val="00353B50"/>
    <w:rsid w:val="0035472E"/>
    <w:rsid w:val="003562C1"/>
    <w:rsid w:val="003564F7"/>
    <w:rsid w:val="00357156"/>
    <w:rsid w:val="00360303"/>
    <w:rsid w:val="00360C22"/>
    <w:rsid w:val="00360D6E"/>
    <w:rsid w:val="00361321"/>
    <w:rsid w:val="0036163F"/>
    <w:rsid w:val="0036165C"/>
    <w:rsid w:val="00361B9C"/>
    <w:rsid w:val="00361EA6"/>
    <w:rsid w:val="003656B1"/>
    <w:rsid w:val="0036574A"/>
    <w:rsid w:val="00366480"/>
    <w:rsid w:val="00367C3A"/>
    <w:rsid w:val="00371C3C"/>
    <w:rsid w:val="00372AAA"/>
    <w:rsid w:val="00372AC6"/>
    <w:rsid w:val="00373254"/>
    <w:rsid w:val="00373475"/>
    <w:rsid w:val="003735A5"/>
    <w:rsid w:val="003735D2"/>
    <w:rsid w:val="0037699E"/>
    <w:rsid w:val="003859A0"/>
    <w:rsid w:val="00387871"/>
    <w:rsid w:val="00387B16"/>
    <w:rsid w:val="00387D23"/>
    <w:rsid w:val="0039049C"/>
    <w:rsid w:val="0039076B"/>
    <w:rsid w:val="00390F7E"/>
    <w:rsid w:val="003917DD"/>
    <w:rsid w:val="00392942"/>
    <w:rsid w:val="00392AF0"/>
    <w:rsid w:val="00394B8A"/>
    <w:rsid w:val="00396116"/>
    <w:rsid w:val="00396C42"/>
    <w:rsid w:val="00397526"/>
    <w:rsid w:val="00397E8B"/>
    <w:rsid w:val="00397F50"/>
    <w:rsid w:val="003A01AA"/>
    <w:rsid w:val="003A0683"/>
    <w:rsid w:val="003A0E86"/>
    <w:rsid w:val="003A100C"/>
    <w:rsid w:val="003A1542"/>
    <w:rsid w:val="003A1F8F"/>
    <w:rsid w:val="003A227C"/>
    <w:rsid w:val="003A3053"/>
    <w:rsid w:val="003A388C"/>
    <w:rsid w:val="003A4790"/>
    <w:rsid w:val="003A48E8"/>
    <w:rsid w:val="003A5843"/>
    <w:rsid w:val="003A5A7F"/>
    <w:rsid w:val="003A6C2B"/>
    <w:rsid w:val="003A6D64"/>
    <w:rsid w:val="003A7006"/>
    <w:rsid w:val="003B0E0A"/>
    <w:rsid w:val="003B151D"/>
    <w:rsid w:val="003B1E5F"/>
    <w:rsid w:val="003B29FC"/>
    <w:rsid w:val="003B3BDF"/>
    <w:rsid w:val="003B4796"/>
    <w:rsid w:val="003B48DC"/>
    <w:rsid w:val="003B4935"/>
    <w:rsid w:val="003C002C"/>
    <w:rsid w:val="003C008C"/>
    <w:rsid w:val="003C0EBC"/>
    <w:rsid w:val="003C22E6"/>
    <w:rsid w:val="003C30F0"/>
    <w:rsid w:val="003C35AE"/>
    <w:rsid w:val="003C548F"/>
    <w:rsid w:val="003C5B76"/>
    <w:rsid w:val="003C6AE0"/>
    <w:rsid w:val="003C6DDB"/>
    <w:rsid w:val="003C7472"/>
    <w:rsid w:val="003D01A7"/>
    <w:rsid w:val="003D07ED"/>
    <w:rsid w:val="003D0D9B"/>
    <w:rsid w:val="003D205F"/>
    <w:rsid w:val="003D2773"/>
    <w:rsid w:val="003D31A9"/>
    <w:rsid w:val="003D50F7"/>
    <w:rsid w:val="003D57CA"/>
    <w:rsid w:val="003D67FE"/>
    <w:rsid w:val="003D708F"/>
    <w:rsid w:val="003E1089"/>
    <w:rsid w:val="003E2F4A"/>
    <w:rsid w:val="003E3B10"/>
    <w:rsid w:val="003E4441"/>
    <w:rsid w:val="003F017F"/>
    <w:rsid w:val="003F194B"/>
    <w:rsid w:val="003F1EBE"/>
    <w:rsid w:val="003F32A2"/>
    <w:rsid w:val="003F3978"/>
    <w:rsid w:val="003F61CB"/>
    <w:rsid w:val="003F685B"/>
    <w:rsid w:val="00400A47"/>
    <w:rsid w:val="00401E45"/>
    <w:rsid w:val="00403270"/>
    <w:rsid w:val="0040388B"/>
    <w:rsid w:val="00403CF5"/>
    <w:rsid w:val="00405381"/>
    <w:rsid w:val="00406D34"/>
    <w:rsid w:val="004071AD"/>
    <w:rsid w:val="00407EC5"/>
    <w:rsid w:val="00410EDE"/>
    <w:rsid w:val="00412AF1"/>
    <w:rsid w:val="0041573D"/>
    <w:rsid w:val="00415D95"/>
    <w:rsid w:val="00416BA2"/>
    <w:rsid w:val="00416FFC"/>
    <w:rsid w:val="0041716B"/>
    <w:rsid w:val="00420045"/>
    <w:rsid w:val="004210A3"/>
    <w:rsid w:val="00425D19"/>
    <w:rsid w:val="0042648D"/>
    <w:rsid w:val="004300A1"/>
    <w:rsid w:val="00430EA6"/>
    <w:rsid w:val="00431756"/>
    <w:rsid w:val="00433418"/>
    <w:rsid w:val="00436C1E"/>
    <w:rsid w:val="0043752A"/>
    <w:rsid w:val="00437A8C"/>
    <w:rsid w:val="00441187"/>
    <w:rsid w:val="00441791"/>
    <w:rsid w:val="004430C4"/>
    <w:rsid w:val="00443163"/>
    <w:rsid w:val="004453B7"/>
    <w:rsid w:val="00445916"/>
    <w:rsid w:val="00447347"/>
    <w:rsid w:val="00451B2B"/>
    <w:rsid w:val="0045301B"/>
    <w:rsid w:val="00455C58"/>
    <w:rsid w:val="004567A8"/>
    <w:rsid w:val="00456AA4"/>
    <w:rsid w:val="00457837"/>
    <w:rsid w:val="00460AE5"/>
    <w:rsid w:val="0046363F"/>
    <w:rsid w:val="00466D2D"/>
    <w:rsid w:val="00470662"/>
    <w:rsid w:val="004710CD"/>
    <w:rsid w:val="00473A70"/>
    <w:rsid w:val="004749FF"/>
    <w:rsid w:val="00474C22"/>
    <w:rsid w:val="00474CE3"/>
    <w:rsid w:val="0048113E"/>
    <w:rsid w:val="004818F0"/>
    <w:rsid w:val="004826E1"/>
    <w:rsid w:val="004828F9"/>
    <w:rsid w:val="0048330D"/>
    <w:rsid w:val="00484B2A"/>
    <w:rsid w:val="00484F4D"/>
    <w:rsid w:val="004850B8"/>
    <w:rsid w:val="004859A1"/>
    <w:rsid w:val="00486229"/>
    <w:rsid w:val="00486B68"/>
    <w:rsid w:val="004914C9"/>
    <w:rsid w:val="00492C98"/>
    <w:rsid w:val="00493F00"/>
    <w:rsid w:val="00494308"/>
    <w:rsid w:val="00494A3C"/>
    <w:rsid w:val="00496AB8"/>
    <w:rsid w:val="0049714C"/>
    <w:rsid w:val="004A074D"/>
    <w:rsid w:val="004A1855"/>
    <w:rsid w:val="004A1AA5"/>
    <w:rsid w:val="004A4A54"/>
    <w:rsid w:val="004A55C2"/>
    <w:rsid w:val="004A707A"/>
    <w:rsid w:val="004B185F"/>
    <w:rsid w:val="004B2BB8"/>
    <w:rsid w:val="004B4BF1"/>
    <w:rsid w:val="004B52DA"/>
    <w:rsid w:val="004C06AD"/>
    <w:rsid w:val="004C0A69"/>
    <w:rsid w:val="004C0F56"/>
    <w:rsid w:val="004C16BB"/>
    <w:rsid w:val="004C1D8E"/>
    <w:rsid w:val="004C2AA7"/>
    <w:rsid w:val="004C3321"/>
    <w:rsid w:val="004C3B24"/>
    <w:rsid w:val="004C3BDB"/>
    <w:rsid w:val="004C3F43"/>
    <w:rsid w:val="004C41D2"/>
    <w:rsid w:val="004C474F"/>
    <w:rsid w:val="004C5163"/>
    <w:rsid w:val="004C6099"/>
    <w:rsid w:val="004C69FA"/>
    <w:rsid w:val="004C78A8"/>
    <w:rsid w:val="004D0E9B"/>
    <w:rsid w:val="004D0ECD"/>
    <w:rsid w:val="004D101E"/>
    <w:rsid w:val="004D1156"/>
    <w:rsid w:val="004D162B"/>
    <w:rsid w:val="004D1BB9"/>
    <w:rsid w:val="004D3D8B"/>
    <w:rsid w:val="004D4226"/>
    <w:rsid w:val="004D4528"/>
    <w:rsid w:val="004D50BA"/>
    <w:rsid w:val="004D621E"/>
    <w:rsid w:val="004D66FE"/>
    <w:rsid w:val="004D72FB"/>
    <w:rsid w:val="004D75AF"/>
    <w:rsid w:val="004D7D07"/>
    <w:rsid w:val="004E0727"/>
    <w:rsid w:val="004E2E9C"/>
    <w:rsid w:val="004E2F76"/>
    <w:rsid w:val="004E34CF"/>
    <w:rsid w:val="004E366B"/>
    <w:rsid w:val="004E3791"/>
    <w:rsid w:val="004E61AD"/>
    <w:rsid w:val="004E6F67"/>
    <w:rsid w:val="004F0ACD"/>
    <w:rsid w:val="004F1BF2"/>
    <w:rsid w:val="004F2F83"/>
    <w:rsid w:val="004F3C37"/>
    <w:rsid w:val="004F49A4"/>
    <w:rsid w:val="004F5AFD"/>
    <w:rsid w:val="004F6A71"/>
    <w:rsid w:val="004F6DB8"/>
    <w:rsid w:val="005007BA"/>
    <w:rsid w:val="005018EA"/>
    <w:rsid w:val="00502723"/>
    <w:rsid w:val="005031E9"/>
    <w:rsid w:val="00505CFC"/>
    <w:rsid w:val="00506876"/>
    <w:rsid w:val="00510B52"/>
    <w:rsid w:val="00513FA4"/>
    <w:rsid w:val="005140A5"/>
    <w:rsid w:val="00514C3D"/>
    <w:rsid w:val="005150BF"/>
    <w:rsid w:val="0051534B"/>
    <w:rsid w:val="00517526"/>
    <w:rsid w:val="005178B0"/>
    <w:rsid w:val="005178B1"/>
    <w:rsid w:val="00517E9D"/>
    <w:rsid w:val="005200A4"/>
    <w:rsid w:val="00520635"/>
    <w:rsid w:val="00520F95"/>
    <w:rsid w:val="00521026"/>
    <w:rsid w:val="00522497"/>
    <w:rsid w:val="0052267E"/>
    <w:rsid w:val="00524084"/>
    <w:rsid w:val="00524A86"/>
    <w:rsid w:val="00524BE7"/>
    <w:rsid w:val="0052502E"/>
    <w:rsid w:val="00525126"/>
    <w:rsid w:val="00526955"/>
    <w:rsid w:val="00530399"/>
    <w:rsid w:val="00530C9E"/>
    <w:rsid w:val="00531B9D"/>
    <w:rsid w:val="00532264"/>
    <w:rsid w:val="005324A4"/>
    <w:rsid w:val="00533852"/>
    <w:rsid w:val="0053447F"/>
    <w:rsid w:val="00534F3F"/>
    <w:rsid w:val="00540876"/>
    <w:rsid w:val="00541A6E"/>
    <w:rsid w:val="00541DE4"/>
    <w:rsid w:val="00541E95"/>
    <w:rsid w:val="005427A2"/>
    <w:rsid w:val="0054299D"/>
    <w:rsid w:val="00543962"/>
    <w:rsid w:val="00543DA3"/>
    <w:rsid w:val="00545E90"/>
    <w:rsid w:val="00546E4D"/>
    <w:rsid w:val="00551630"/>
    <w:rsid w:val="0055166C"/>
    <w:rsid w:val="00551ABD"/>
    <w:rsid w:val="00551DAD"/>
    <w:rsid w:val="00551E9E"/>
    <w:rsid w:val="0055213A"/>
    <w:rsid w:val="005521E5"/>
    <w:rsid w:val="00552B25"/>
    <w:rsid w:val="005535E5"/>
    <w:rsid w:val="00556B68"/>
    <w:rsid w:val="00560F01"/>
    <w:rsid w:val="0056221A"/>
    <w:rsid w:val="0056277B"/>
    <w:rsid w:val="005627C4"/>
    <w:rsid w:val="00563C37"/>
    <w:rsid w:val="0056422F"/>
    <w:rsid w:val="00566B36"/>
    <w:rsid w:val="00567032"/>
    <w:rsid w:val="00567525"/>
    <w:rsid w:val="00570BFC"/>
    <w:rsid w:val="00570FA9"/>
    <w:rsid w:val="00571689"/>
    <w:rsid w:val="00571C51"/>
    <w:rsid w:val="0057316F"/>
    <w:rsid w:val="00574A91"/>
    <w:rsid w:val="00575127"/>
    <w:rsid w:val="00575136"/>
    <w:rsid w:val="005774A5"/>
    <w:rsid w:val="00580DB1"/>
    <w:rsid w:val="00580DC6"/>
    <w:rsid w:val="005818F8"/>
    <w:rsid w:val="005821C4"/>
    <w:rsid w:val="005822EA"/>
    <w:rsid w:val="00583927"/>
    <w:rsid w:val="00583C5B"/>
    <w:rsid w:val="005847C9"/>
    <w:rsid w:val="00586FED"/>
    <w:rsid w:val="005879E0"/>
    <w:rsid w:val="00587C3B"/>
    <w:rsid w:val="005919AF"/>
    <w:rsid w:val="00591EC8"/>
    <w:rsid w:val="00592E1C"/>
    <w:rsid w:val="005933D1"/>
    <w:rsid w:val="005936CD"/>
    <w:rsid w:val="00594D35"/>
    <w:rsid w:val="005953FE"/>
    <w:rsid w:val="005958DC"/>
    <w:rsid w:val="005A0D2E"/>
    <w:rsid w:val="005A1CDB"/>
    <w:rsid w:val="005A1FD4"/>
    <w:rsid w:val="005A3404"/>
    <w:rsid w:val="005A3472"/>
    <w:rsid w:val="005A3650"/>
    <w:rsid w:val="005A41C8"/>
    <w:rsid w:val="005A4314"/>
    <w:rsid w:val="005A487A"/>
    <w:rsid w:val="005A560C"/>
    <w:rsid w:val="005A61D8"/>
    <w:rsid w:val="005A7025"/>
    <w:rsid w:val="005A7C71"/>
    <w:rsid w:val="005B065B"/>
    <w:rsid w:val="005B0A34"/>
    <w:rsid w:val="005B0A9B"/>
    <w:rsid w:val="005B238F"/>
    <w:rsid w:val="005B33B2"/>
    <w:rsid w:val="005B5EC7"/>
    <w:rsid w:val="005B6172"/>
    <w:rsid w:val="005B66BD"/>
    <w:rsid w:val="005B7ED1"/>
    <w:rsid w:val="005B7F4F"/>
    <w:rsid w:val="005C010F"/>
    <w:rsid w:val="005C120E"/>
    <w:rsid w:val="005C1276"/>
    <w:rsid w:val="005C1520"/>
    <w:rsid w:val="005C1AFE"/>
    <w:rsid w:val="005C23AF"/>
    <w:rsid w:val="005C246A"/>
    <w:rsid w:val="005C2DE0"/>
    <w:rsid w:val="005C4F9E"/>
    <w:rsid w:val="005C64A1"/>
    <w:rsid w:val="005C6A3B"/>
    <w:rsid w:val="005C6D27"/>
    <w:rsid w:val="005C796D"/>
    <w:rsid w:val="005D1061"/>
    <w:rsid w:val="005D37AD"/>
    <w:rsid w:val="005D3C54"/>
    <w:rsid w:val="005D3C99"/>
    <w:rsid w:val="005D54E4"/>
    <w:rsid w:val="005D5734"/>
    <w:rsid w:val="005D5E5E"/>
    <w:rsid w:val="005D5FCD"/>
    <w:rsid w:val="005D7212"/>
    <w:rsid w:val="005D7677"/>
    <w:rsid w:val="005E03E5"/>
    <w:rsid w:val="005E056C"/>
    <w:rsid w:val="005E1726"/>
    <w:rsid w:val="005E2BBC"/>
    <w:rsid w:val="005E3308"/>
    <w:rsid w:val="005E3312"/>
    <w:rsid w:val="005E388D"/>
    <w:rsid w:val="005E3D74"/>
    <w:rsid w:val="005E4517"/>
    <w:rsid w:val="005E4AA2"/>
    <w:rsid w:val="005E5740"/>
    <w:rsid w:val="005E5FF9"/>
    <w:rsid w:val="005E6092"/>
    <w:rsid w:val="005E7629"/>
    <w:rsid w:val="005E7717"/>
    <w:rsid w:val="005F1C13"/>
    <w:rsid w:val="005F257D"/>
    <w:rsid w:val="005F2729"/>
    <w:rsid w:val="005F2873"/>
    <w:rsid w:val="005F2C8C"/>
    <w:rsid w:val="005F359B"/>
    <w:rsid w:val="005F43A4"/>
    <w:rsid w:val="005F5311"/>
    <w:rsid w:val="005F7105"/>
    <w:rsid w:val="0060016F"/>
    <w:rsid w:val="006005B0"/>
    <w:rsid w:val="006014DB"/>
    <w:rsid w:val="006017B9"/>
    <w:rsid w:val="00601DAA"/>
    <w:rsid w:val="006022F6"/>
    <w:rsid w:val="00602983"/>
    <w:rsid w:val="0060324C"/>
    <w:rsid w:val="006059AF"/>
    <w:rsid w:val="00606129"/>
    <w:rsid w:val="00607B78"/>
    <w:rsid w:val="0061097A"/>
    <w:rsid w:val="00612078"/>
    <w:rsid w:val="00612975"/>
    <w:rsid w:val="00614C5D"/>
    <w:rsid w:val="00616734"/>
    <w:rsid w:val="006178C9"/>
    <w:rsid w:val="006200AE"/>
    <w:rsid w:val="006214D4"/>
    <w:rsid w:val="00621F0A"/>
    <w:rsid w:val="006228F6"/>
    <w:rsid w:val="00622C67"/>
    <w:rsid w:val="0062451A"/>
    <w:rsid w:val="00624811"/>
    <w:rsid w:val="00625FE0"/>
    <w:rsid w:val="00626331"/>
    <w:rsid w:val="00627338"/>
    <w:rsid w:val="00627C95"/>
    <w:rsid w:val="0063011A"/>
    <w:rsid w:val="00630E72"/>
    <w:rsid w:val="006310CC"/>
    <w:rsid w:val="00632CF8"/>
    <w:rsid w:val="00634825"/>
    <w:rsid w:val="00634914"/>
    <w:rsid w:val="00635764"/>
    <w:rsid w:val="00636EBA"/>
    <w:rsid w:val="00636EF4"/>
    <w:rsid w:val="00641196"/>
    <w:rsid w:val="0064330D"/>
    <w:rsid w:val="006451BB"/>
    <w:rsid w:val="006459E2"/>
    <w:rsid w:val="00645CEB"/>
    <w:rsid w:val="00645E1A"/>
    <w:rsid w:val="00646952"/>
    <w:rsid w:val="006501BF"/>
    <w:rsid w:val="00650455"/>
    <w:rsid w:val="006513DA"/>
    <w:rsid w:val="00651528"/>
    <w:rsid w:val="00651C0A"/>
    <w:rsid w:val="00652E01"/>
    <w:rsid w:val="006531C8"/>
    <w:rsid w:val="00653A34"/>
    <w:rsid w:val="00656981"/>
    <w:rsid w:val="006570DD"/>
    <w:rsid w:val="006606A1"/>
    <w:rsid w:val="00660DB2"/>
    <w:rsid w:val="006617BE"/>
    <w:rsid w:val="00662F81"/>
    <w:rsid w:val="00664017"/>
    <w:rsid w:val="00665438"/>
    <w:rsid w:val="00667CAF"/>
    <w:rsid w:val="00670989"/>
    <w:rsid w:val="00670F60"/>
    <w:rsid w:val="0067312D"/>
    <w:rsid w:val="00674505"/>
    <w:rsid w:val="00674A7F"/>
    <w:rsid w:val="0067524A"/>
    <w:rsid w:val="006752B7"/>
    <w:rsid w:val="00675F24"/>
    <w:rsid w:val="0067621E"/>
    <w:rsid w:val="0067622B"/>
    <w:rsid w:val="00676786"/>
    <w:rsid w:val="00676898"/>
    <w:rsid w:val="00676DD7"/>
    <w:rsid w:val="00677318"/>
    <w:rsid w:val="00677495"/>
    <w:rsid w:val="00681290"/>
    <w:rsid w:val="00681658"/>
    <w:rsid w:val="00682046"/>
    <w:rsid w:val="00683568"/>
    <w:rsid w:val="00684FE1"/>
    <w:rsid w:val="00685BD7"/>
    <w:rsid w:val="00686803"/>
    <w:rsid w:val="00687E27"/>
    <w:rsid w:val="006908D8"/>
    <w:rsid w:val="00690F86"/>
    <w:rsid w:val="00691E75"/>
    <w:rsid w:val="00692323"/>
    <w:rsid w:val="00692344"/>
    <w:rsid w:val="006926DE"/>
    <w:rsid w:val="00692CCE"/>
    <w:rsid w:val="00693629"/>
    <w:rsid w:val="0069370D"/>
    <w:rsid w:val="006944E0"/>
    <w:rsid w:val="0069486E"/>
    <w:rsid w:val="00694F44"/>
    <w:rsid w:val="00697641"/>
    <w:rsid w:val="00697947"/>
    <w:rsid w:val="00697A9B"/>
    <w:rsid w:val="006A05E1"/>
    <w:rsid w:val="006A1BF6"/>
    <w:rsid w:val="006A24F2"/>
    <w:rsid w:val="006A2506"/>
    <w:rsid w:val="006A286D"/>
    <w:rsid w:val="006A28E6"/>
    <w:rsid w:val="006A2BBC"/>
    <w:rsid w:val="006A2E20"/>
    <w:rsid w:val="006A3EB4"/>
    <w:rsid w:val="006A5742"/>
    <w:rsid w:val="006A5CB8"/>
    <w:rsid w:val="006A6BDB"/>
    <w:rsid w:val="006A7351"/>
    <w:rsid w:val="006B09E5"/>
    <w:rsid w:val="006B0A60"/>
    <w:rsid w:val="006B12D9"/>
    <w:rsid w:val="006B1BE5"/>
    <w:rsid w:val="006B2363"/>
    <w:rsid w:val="006B4E2B"/>
    <w:rsid w:val="006B54F4"/>
    <w:rsid w:val="006B6ED3"/>
    <w:rsid w:val="006B77BB"/>
    <w:rsid w:val="006C016A"/>
    <w:rsid w:val="006C030B"/>
    <w:rsid w:val="006C31DF"/>
    <w:rsid w:val="006C4B58"/>
    <w:rsid w:val="006C4BC9"/>
    <w:rsid w:val="006C4CD7"/>
    <w:rsid w:val="006C6543"/>
    <w:rsid w:val="006C689B"/>
    <w:rsid w:val="006C6AFA"/>
    <w:rsid w:val="006C721E"/>
    <w:rsid w:val="006C7CE7"/>
    <w:rsid w:val="006D2899"/>
    <w:rsid w:val="006D36C8"/>
    <w:rsid w:val="006D38B6"/>
    <w:rsid w:val="006D4520"/>
    <w:rsid w:val="006D5DCC"/>
    <w:rsid w:val="006D6BE6"/>
    <w:rsid w:val="006D79BB"/>
    <w:rsid w:val="006E0ED0"/>
    <w:rsid w:val="006E14E4"/>
    <w:rsid w:val="006E2F5C"/>
    <w:rsid w:val="006E4B13"/>
    <w:rsid w:val="006E55C4"/>
    <w:rsid w:val="006E5680"/>
    <w:rsid w:val="006E67A6"/>
    <w:rsid w:val="006E6E85"/>
    <w:rsid w:val="006E7213"/>
    <w:rsid w:val="006E771C"/>
    <w:rsid w:val="006E7AFF"/>
    <w:rsid w:val="006F14DA"/>
    <w:rsid w:val="006F15CB"/>
    <w:rsid w:val="006F3191"/>
    <w:rsid w:val="006F35E3"/>
    <w:rsid w:val="006F3B6B"/>
    <w:rsid w:val="006F4104"/>
    <w:rsid w:val="006F42EC"/>
    <w:rsid w:val="006F58EC"/>
    <w:rsid w:val="006F62B3"/>
    <w:rsid w:val="00700E0A"/>
    <w:rsid w:val="00701E3E"/>
    <w:rsid w:val="00702D75"/>
    <w:rsid w:val="00703CDF"/>
    <w:rsid w:val="00704E69"/>
    <w:rsid w:val="00705D85"/>
    <w:rsid w:val="007064B6"/>
    <w:rsid w:val="00706AE1"/>
    <w:rsid w:val="00706FFC"/>
    <w:rsid w:val="0070703A"/>
    <w:rsid w:val="007070A3"/>
    <w:rsid w:val="00707E3E"/>
    <w:rsid w:val="00710047"/>
    <w:rsid w:val="00710110"/>
    <w:rsid w:val="007111CF"/>
    <w:rsid w:val="00711612"/>
    <w:rsid w:val="0071235D"/>
    <w:rsid w:val="00713126"/>
    <w:rsid w:val="007137D8"/>
    <w:rsid w:val="00714306"/>
    <w:rsid w:val="00715533"/>
    <w:rsid w:val="00716C16"/>
    <w:rsid w:val="0072017F"/>
    <w:rsid w:val="007208E6"/>
    <w:rsid w:val="0072185C"/>
    <w:rsid w:val="0072427F"/>
    <w:rsid w:val="00724785"/>
    <w:rsid w:val="00725EA2"/>
    <w:rsid w:val="00727077"/>
    <w:rsid w:val="007304E6"/>
    <w:rsid w:val="0073278D"/>
    <w:rsid w:val="00732DF8"/>
    <w:rsid w:val="00733980"/>
    <w:rsid w:val="00734FBD"/>
    <w:rsid w:val="007352AA"/>
    <w:rsid w:val="0073681C"/>
    <w:rsid w:val="007379EC"/>
    <w:rsid w:val="00737C6D"/>
    <w:rsid w:val="00737DD8"/>
    <w:rsid w:val="0074058F"/>
    <w:rsid w:val="00741475"/>
    <w:rsid w:val="00741F99"/>
    <w:rsid w:val="00742349"/>
    <w:rsid w:val="007433BC"/>
    <w:rsid w:val="00743897"/>
    <w:rsid w:val="0074443E"/>
    <w:rsid w:val="007445A9"/>
    <w:rsid w:val="007451D5"/>
    <w:rsid w:val="00745DD2"/>
    <w:rsid w:val="007476C3"/>
    <w:rsid w:val="00747DEB"/>
    <w:rsid w:val="00750E25"/>
    <w:rsid w:val="0075160D"/>
    <w:rsid w:val="00751A77"/>
    <w:rsid w:val="00751E6C"/>
    <w:rsid w:val="007520CC"/>
    <w:rsid w:val="0075320C"/>
    <w:rsid w:val="00754CA9"/>
    <w:rsid w:val="007571F8"/>
    <w:rsid w:val="0075776A"/>
    <w:rsid w:val="0075776C"/>
    <w:rsid w:val="00757A81"/>
    <w:rsid w:val="0076124B"/>
    <w:rsid w:val="00762333"/>
    <w:rsid w:val="007624B4"/>
    <w:rsid w:val="00763572"/>
    <w:rsid w:val="00764EEA"/>
    <w:rsid w:val="0076553C"/>
    <w:rsid w:val="00766396"/>
    <w:rsid w:val="007667F0"/>
    <w:rsid w:val="00766F75"/>
    <w:rsid w:val="00767E86"/>
    <w:rsid w:val="0077069D"/>
    <w:rsid w:val="00771277"/>
    <w:rsid w:val="00771E05"/>
    <w:rsid w:val="00772278"/>
    <w:rsid w:val="00772708"/>
    <w:rsid w:val="00773780"/>
    <w:rsid w:val="00774E3D"/>
    <w:rsid w:val="00775973"/>
    <w:rsid w:val="00777D56"/>
    <w:rsid w:val="00780890"/>
    <w:rsid w:val="007815AB"/>
    <w:rsid w:val="007819DC"/>
    <w:rsid w:val="00786AC0"/>
    <w:rsid w:val="007917CD"/>
    <w:rsid w:val="007929AE"/>
    <w:rsid w:val="00793277"/>
    <w:rsid w:val="00795138"/>
    <w:rsid w:val="00796265"/>
    <w:rsid w:val="00796BD4"/>
    <w:rsid w:val="007A17C1"/>
    <w:rsid w:val="007A258F"/>
    <w:rsid w:val="007A2CD1"/>
    <w:rsid w:val="007A31EB"/>
    <w:rsid w:val="007A3904"/>
    <w:rsid w:val="007A48C8"/>
    <w:rsid w:val="007A4B36"/>
    <w:rsid w:val="007A4B5D"/>
    <w:rsid w:val="007A54DB"/>
    <w:rsid w:val="007A581E"/>
    <w:rsid w:val="007A6978"/>
    <w:rsid w:val="007A6F4C"/>
    <w:rsid w:val="007A71A6"/>
    <w:rsid w:val="007B0A42"/>
    <w:rsid w:val="007B1035"/>
    <w:rsid w:val="007B2854"/>
    <w:rsid w:val="007B4542"/>
    <w:rsid w:val="007B481D"/>
    <w:rsid w:val="007B4E21"/>
    <w:rsid w:val="007B71ED"/>
    <w:rsid w:val="007C0FA8"/>
    <w:rsid w:val="007C10FD"/>
    <w:rsid w:val="007C2E99"/>
    <w:rsid w:val="007C5E69"/>
    <w:rsid w:val="007C66C8"/>
    <w:rsid w:val="007C6AB0"/>
    <w:rsid w:val="007C6C1C"/>
    <w:rsid w:val="007C7334"/>
    <w:rsid w:val="007D10AE"/>
    <w:rsid w:val="007D231B"/>
    <w:rsid w:val="007D2D24"/>
    <w:rsid w:val="007D328A"/>
    <w:rsid w:val="007D43DD"/>
    <w:rsid w:val="007D44D4"/>
    <w:rsid w:val="007D4A15"/>
    <w:rsid w:val="007D589B"/>
    <w:rsid w:val="007D5EB5"/>
    <w:rsid w:val="007D6302"/>
    <w:rsid w:val="007E02EE"/>
    <w:rsid w:val="007E24EE"/>
    <w:rsid w:val="007E2694"/>
    <w:rsid w:val="007E2DCD"/>
    <w:rsid w:val="007E3250"/>
    <w:rsid w:val="007E33F9"/>
    <w:rsid w:val="007E71B3"/>
    <w:rsid w:val="007E74DB"/>
    <w:rsid w:val="007E771C"/>
    <w:rsid w:val="007F01DB"/>
    <w:rsid w:val="007F0D8C"/>
    <w:rsid w:val="007F25A1"/>
    <w:rsid w:val="007F27EF"/>
    <w:rsid w:val="007F313A"/>
    <w:rsid w:val="00800CBE"/>
    <w:rsid w:val="008027E3"/>
    <w:rsid w:val="0080398A"/>
    <w:rsid w:val="00805265"/>
    <w:rsid w:val="00805583"/>
    <w:rsid w:val="00806135"/>
    <w:rsid w:val="00806E2B"/>
    <w:rsid w:val="0080706D"/>
    <w:rsid w:val="00810C7C"/>
    <w:rsid w:val="00811892"/>
    <w:rsid w:val="00811A30"/>
    <w:rsid w:val="0081298A"/>
    <w:rsid w:val="00812C6E"/>
    <w:rsid w:val="00813DBA"/>
    <w:rsid w:val="008144CD"/>
    <w:rsid w:val="00814E4B"/>
    <w:rsid w:val="008156EA"/>
    <w:rsid w:val="008161E1"/>
    <w:rsid w:val="0081630B"/>
    <w:rsid w:val="00817650"/>
    <w:rsid w:val="008177B2"/>
    <w:rsid w:val="00820CC3"/>
    <w:rsid w:val="00821918"/>
    <w:rsid w:val="00821D0A"/>
    <w:rsid w:val="0082235F"/>
    <w:rsid w:val="00823004"/>
    <w:rsid w:val="00824A50"/>
    <w:rsid w:val="00826414"/>
    <w:rsid w:val="00826748"/>
    <w:rsid w:val="00827A41"/>
    <w:rsid w:val="00830183"/>
    <w:rsid w:val="00831AD9"/>
    <w:rsid w:val="00831B55"/>
    <w:rsid w:val="00831B8F"/>
    <w:rsid w:val="00831C50"/>
    <w:rsid w:val="00832845"/>
    <w:rsid w:val="00832F35"/>
    <w:rsid w:val="00834855"/>
    <w:rsid w:val="008357CC"/>
    <w:rsid w:val="00835CB4"/>
    <w:rsid w:val="00836C4B"/>
    <w:rsid w:val="008412B7"/>
    <w:rsid w:val="00841951"/>
    <w:rsid w:val="00842311"/>
    <w:rsid w:val="00843F7E"/>
    <w:rsid w:val="008451C9"/>
    <w:rsid w:val="00845883"/>
    <w:rsid w:val="008465A5"/>
    <w:rsid w:val="00847C1F"/>
    <w:rsid w:val="00851F2F"/>
    <w:rsid w:val="00853475"/>
    <w:rsid w:val="008562A5"/>
    <w:rsid w:val="00856460"/>
    <w:rsid w:val="00860902"/>
    <w:rsid w:val="0086114C"/>
    <w:rsid w:val="00861CC7"/>
    <w:rsid w:val="00863E47"/>
    <w:rsid w:val="00870134"/>
    <w:rsid w:val="00870936"/>
    <w:rsid w:val="0087199D"/>
    <w:rsid w:val="00871AFA"/>
    <w:rsid w:val="00871C7A"/>
    <w:rsid w:val="008730BE"/>
    <w:rsid w:val="0087312B"/>
    <w:rsid w:val="00873E62"/>
    <w:rsid w:val="008742F8"/>
    <w:rsid w:val="008759A2"/>
    <w:rsid w:val="00877160"/>
    <w:rsid w:val="008775B8"/>
    <w:rsid w:val="008776F2"/>
    <w:rsid w:val="008804BE"/>
    <w:rsid w:val="00882025"/>
    <w:rsid w:val="00882931"/>
    <w:rsid w:val="00882AEB"/>
    <w:rsid w:val="00882E03"/>
    <w:rsid w:val="0088416D"/>
    <w:rsid w:val="008841E0"/>
    <w:rsid w:val="00885BC3"/>
    <w:rsid w:val="00886BEE"/>
    <w:rsid w:val="00887995"/>
    <w:rsid w:val="008924BA"/>
    <w:rsid w:val="00892AF1"/>
    <w:rsid w:val="00892CB2"/>
    <w:rsid w:val="00896899"/>
    <w:rsid w:val="008976D3"/>
    <w:rsid w:val="00897CC3"/>
    <w:rsid w:val="008A03DC"/>
    <w:rsid w:val="008A0FE3"/>
    <w:rsid w:val="008A1F54"/>
    <w:rsid w:val="008A25BB"/>
    <w:rsid w:val="008A2603"/>
    <w:rsid w:val="008A2BE0"/>
    <w:rsid w:val="008A36AB"/>
    <w:rsid w:val="008A39E5"/>
    <w:rsid w:val="008A4B70"/>
    <w:rsid w:val="008A573D"/>
    <w:rsid w:val="008A5A5E"/>
    <w:rsid w:val="008A5D06"/>
    <w:rsid w:val="008A7EFB"/>
    <w:rsid w:val="008B07CD"/>
    <w:rsid w:val="008B0A4B"/>
    <w:rsid w:val="008B1158"/>
    <w:rsid w:val="008B3500"/>
    <w:rsid w:val="008B4AC0"/>
    <w:rsid w:val="008B4CBE"/>
    <w:rsid w:val="008B62BF"/>
    <w:rsid w:val="008B7002"/>
    <w:rsid w:val="008B7647"/>
    <w:rsid w:val="008C01F1"/>
    <w:rsid w:val="008C0730"/>
    <w:rsid w:val="008C124B"/>
    <w:rsid w:val="008C1A74"/>
    <w:rsid w:val="008C1AC0"/>
    <w:rsid w:val="008C244B"/>
    <w:rsid w:val="008C4223"/>
    <w:rsid w:val="008C5833"/>
    <w:rsid w:val="008C5BC5"/>
    <w:rsid w:val="008C5E02"/>
    <w:rsid w:val="008C760F"/>
    <w:rsid w:val="008D2033"/>
    <w:rsid w:val="008D3F90"/>
    <w:rsid w:val="008D438B"/>
    <w:rsid w:val="008D4BB5"/>
    <w:rsid w:val="008D66FC"/>
    <w:rsid w:val="008D7E21"/>
    <w:rsid w:val="008E06C3"/>
    <w:rsid w:val="008E10AA"/>
    <w:rsid w:val="008E36AA"/>
    <w:rsid w:val="008E3DC8"/>
    <w:rsid w:val="008E3DDF"/>
    <w:rsid w:val="008E685C"/>
    <w:rsid w:val="008E6B4E"/>
    <w:rsid w:val="008E70C2"/>
    <w:rsid w:val="008E715D"/>
    <w:rsid w:val="008E71C4"/>
    <w:rsid w:val="008F039A"/>
    <w:rsid w:val="008F1787"/>
    <w:rsid w:val="008F1BC2"/>
    <w:rsid w:val="008F32FE"/>
    <w:rsid w:val="008F3507"/>
    <w:rsid w:val="008F37BB"/>
    <w:rsid w:val="008F3F70"/>
    <w:rsid w:val="008F4B54"/>
    <w:rsid w:val="008F6411"/>
    <w:rsid w:val="008F70F1"/>
    <w:rsid w:val="008F7390"/>
    <w:rsid w:val="008F7547"/>
    <w:rsid w:val="008F7DBC"/>
    <w:rsid w:val="00900FBE"/>
    <w:rsid w:val="00901E68"/>
    <w:rsid w:val="00901E83"/>
    <w:rsid w:val="009035FA"/>
    <w:rsid w:val="009036B1"/>
    <w:rsid w:val="00903832"/>
    <w:rsid w:val="00903F58"/>
    <w:rsid w:val="00904451"/>
    <w:rsid w:val="00904751"/>
    <w:rsid w:val="00906AEC"/>
    <w:rsid w:val="0090735B"/>
    <w:rsid w:val="00907674"/>
    <w:rsid w:val="00907AEF"/>
    <w:rsid w:val="009104CA"/>
    <w:rsid w:val="009109CF"/>
    <w:rsid w:val="00911AEC"/>
    <w:rsid w:val="009124EE"/>
    <w:rsid w:val="00913110"/>
    <w:rsid w:val="00914335"/>
    <w:rsid w:val="00915834"/>
    <w:rsid w:val="00917E29"/>
    <w:rsid w:val="00920930"/>
    <w:rsid w:val="0092106C"/>
    <w:rsid w:val="00922C76"/>
    <w:rsid w:val="00924B93"/>
    <w:rsid w:val="00925A4F"/>
    <w:rsid w:val="00927663"/>
    <w:rsid w:val="009279C0"/>
    <w:rsid w:val="0093189D"/>
    <w:rsid w:val="00934B73"/>
    <w:rsid w:val="00935653"/>
    <w:rsid w:val="009360EA"/>
    <w:rsid w:val="0093667A"/>
    <w:rsid w:val="0093703E"/>
    <w:rsid w:val="00937A9D"/>
    <w:rsid w:val="00937FE6"/>
    <w:rsid w:val="009420C5"/>
    <w:rsid w:val="009455F6"/>
    <w:rsid w:val="00945A2A"/>
    <w:rsid w:val="0094684D"/>
    <w:rsid w:val="009506D3"/>
    <w:rsid w:val="00950E32"/>
    <w:rsid w:val="00951D32"/>
    <w:rsid w:val="009536D0"/>
    <w:rsid w:val="009540F4"/>
    <w:rsid w:val="009546D8"/>
    <w:rsid w:val="00954914"/>
    <w:rsid w:val="0095643A"/>
    <w:rsid w:val="00956E0E"/>
    <w:rsid w:val="009575DE"/>
    <w:rsid w:val="009579F7"/>
    <w:rsid w:val="00960C94"/>
    <w:rsid w:val="00961FF4"/>
    <w:rsid w:val="00962691"/>
    <w:rsid w:val="009633D5"/>
    <w:rsid w:val="00963513"/>
    <w:rsid w:val="00964122"/>
    <w:rsid w:val="009642D1"/>
    <w:rsid w:val="009642DC"/>
    <w:rsid w:val="00964E6E"/>
    <w:rsid w:val="00965C07"/>
    <w:rsid w:val="00967736"/>
    <w:rsid w:val="00970C05"/>
    <w:rsid w:val="009714DF"/>
    <w:rsid w:val="009714F7"/>
    <w:rsid w:val="009760E6"/>
    <w:rsid w:val="009760FB"/>
    <w:rsid w:val="009763D1"/>
    <w:rsid w:val="009775CC"/>
    <w:rsid w:val="009803AB"/>
    <w:rsid w:val="009803B5"/>
    <w:rsid w:val="00980528"/>
    <w:rsid w:val="00980E15"/>
    <w:rsid w:val="00981650"/>
    <w:rsid w:val="00981A20"/>
    <w:rsid w:val="009829E8"/>
    <w:rsid w:val="009835DD"/>
    <w:rsid w:val="009836EA"/>
    <w:rsid w:val="00984AD1"/>
    <w:rsid w:val="00984E1C"/>
    <w:rsid w:val="00984F2C"/>
    <w:rsid w:val="009860E2"/>
    <w:rsid w:val="009862C8"/>
    <w:rsid w:val="00986836"/>
    <w:rsid w:val="009877CD"/>
    <w:rsid w:val="00991802"/>
    <w:rsid w:val="0099193B"/>
    <w:rsid w:val="00991D61"/>
    <w:rsid w:val="00993495"/>
    <w:rsid w:val="009937BF"/>
    <w:rsid w:val="009945AF"/>
    <w:rsid w:val="00995A02"/>
    <w:rsid w:val="0099642C"/>
    <w:rsid w:val="0099647C"/>
    <w:rsid w:val="009975C4"/>
    <w:rsid w:val="009978DB"/>
    <w:rsid w:val="00997982"/>
    <w:rsid w:val="009A0929"/>
    <w:rsid w:val="009A0FA1"/>
    <w:rsid w:val="009A14D3"/>
    <w:rsid w:val="009A292C"/>
    <w:rsid w:val="009A3C5A"/>
    <w:rsid w:val="009A3E7A"/>
    <w:rsid w:val="009A4FF0"/>
    <w:rsid w:val="009A5840"/>
    <w:rsid w:val="009A74B0"/>
    <w:rsid w:val="009B2211"/>
    <w:rsid w:val="009B2A4A"/>
    <w:rsid w:val="009B2E11"/>
    <w:rsid w:val="009B33F1"/>
    <w:rsid w:val="009B3ACF"/>
    <w:rsid w:val="009B48B9"/>
    <w:rsid w:val="009B4B96"/>
    <w:rsid w:val="009B5F35"/>
    <w:rsid w:val="009B682E"/>
    <w:rsid w:val="009C06E9"/>
    <w:rsid w:val="009C0776"/>
    <w:rsid w:val="009C0BC4"/>
    <w:rsid w:val="009C1060"/>
    <w:rsid w:val="009C1A84"/>
    <w:rsid w:val="009C5133"/>
    <w:rsid w:val="009C584B"/>
    <w:rsid w:val="009C5D65"/>
    <w:rsid w:val="009C688E"/>
    <w:rsid w:val="009C6D77"/>
    <w:rsid w:val="009C74B5"/>
    <w:rsid w:val="009C7790"/>
    <w:rsid w:val="009D0263"/>
    <w:rsid w:val="009D031A"/>
    <w:rsid w:val="009D298C"/>
    <w:rsid w:val="009D4077"/>
    <w:rsid w:val="009D47B9"/>
    <w:rsid w:val="009D5AFF"/>
    <w:rsid w:val="009D6F1A"/>
    <w:rsid w:val="009D7745"/>
    <w:rsid w:val="009D77C8"/>
    <w:rsid w:val="009D7B10"/>
    <w:rsid w:val="009E260E"/>
    <w:rsid w:val="009E2B2A"/>
    <w:rsid w:val="009E2DA6"/>
    <w:rsid w:val="009E30AD"/>
    <w:rsid w:val="009E49E2"/>
    <w:rsid w:val="009E588F"/>
    <w:rsid w:val="009E6B7F"/>
    <w:rsid w:val="009F047F"/>
    <w:rsid w:val="009F1AE5"/>
    <w:rsid w:val="009F33D3"/>
    <w:rsid w:val="009F447E"/>
    <w:rsid w:val="009F4820"/>
    <w:rsid w:val="009F4EC3"/>
    <w:rsid w:val="00A00498"/>
    <w:rsid w:val="00A00A7D"/>
    <w:rsid w:val="00A00D07"/>
    <w:rsid w:val="00A00E01"/>
    <w:rsid w:val="00A01B57"/>
    <w:rsid w:val="00A02104"/>
    <w:rsid w:val="00A02A3F"/>
    <w:rsid w:val="00A03B73"/>
    <w:rsid w:val="00A041CF"/>
    <w:rsid w:val="00A0457E"/>
    <w:rsid w:val="00A04C74"/>
    <w:rsid w:val="00A05DAF"/>
    <w:rsid w:val="00A05DD1"/>
    <w:rsid w:val="00A05E1B"/>
    <w:rsid w:val="00A07836"/>
    <w:rsid w:val="00A117F4"/>
    <w:rsid w:val="00A12329"/>
    <w:rsid w:val="00A1264F"/>
    <w:rsid w:val="00A137BD"/>
    <w:rsid w:val="00A14293"/>
    <w:rsid w:val="00A15132"/>
    <w:rsid w:val="00A16C08"/>
    <w:rsid w:val="00A17254"/>
    <w:rsid w:val="00A179B1"/>
    <w:rsid w:val="00A200BA"/>
    <w:rsid w:val="00A20B33"/>
    <w:rsid w:val="00A21241"/>
    <w:rsid w:val="00A2130A"/>
    <w:rsid w:val="00A225B9"/>
    <w:rsid w:val="00A235B2"/>
    <w:rsid w:val="00A24A6F"/>
    <w:rsid w:val="00A24A71"/>
    <w:rsid w:val="00A2677D"/>
    <w:rsid w:val="00A27C8D"/>
    <w:rsid w:val="00A27F78"/>
    <w:rsid w:val="00A307DA"/>
    <w:rsid w:val="00A30AD0"/>
    <w:rsid w:val="00A31881"/>
    <w:rsid w:val="00A31A9C"/>
    <w:rsid w:val="00A31FBC"/>
    <w:rsid w:val="00A32E81"/>
    <w:rsid w:val="00A3491D"/>
    <w:rsid w:val="00A351C5"/>
    <w:rsid w:val="00A36720"/>
    <w:rsid w:val="00A40570"/>
    <w:rsid w:val="00A4242B"/>
    <w:rsid w:val="00A4250A"/>
    <w:rsid w:val="00A433FC"/>
    <w:rsid w:val="00A44E6B"/>
    <w:rsid w:val="00A463E3"/>
    <w:rsid w:val="00A46700"/>
    <w:rsid w:val="00A4706B"/>
    <w:rsid w:val="00A47174"/>
    <w:rsid w:val="00A505B8"/>
    <w:rsid w:val="00A51EA1"/>
    <w:rsid w:val="00A54063"/>
    <w:rsid w:val="00A54196"/>
    <w:rsid w:val="00A54801"/>
    <w:rsid w:val="00A5566D"/>
    <w:rsid w:val="00A6005D"/>
    <w:rsid w:val="00A60BFD"/>
    <w:rsid w:val="00A617A7"/>
    <w:rsid w:val="00A641D3"/>
    <w:rsid w:val="00A64262"/>
    <w:rsid w:val="00A649D9"/>
    <w:rsid w:val="00A64A16"/>
    <w:rsid w:val="00A655EC"/>
    <w:rsid w:val="00A656F4"/>
    <w:rsid w:val="00A65C3A"/>
    <w:rsid w:val="00A67411"/>
    <w:rsid w:val="00A727A5"/>
    <w:rsid w:val="00A732BD"/>
    <w:rsid w:val="00A73D81"/>
    <w:rsid w:val="00A74663"/>
    <w:rsid w:val="00A746C0"/>
    <w:rsid w:val="00A75064"/>
    <w:rsid w:val="00A7570D"/>
    <w:rsid w:val="00A7620C"/>
    <w:rsid w:val="00A7678B"/>
    <w:rsid w:val="00A7712C"/>
    <w:rsid w:val="00A805E9"/>
    <w:rsid w:val="00A814F5"/>
    <w:rsid w:val="00A81612"/>
    <w:rsid w:val="00A816FF"/>
    <w:rsid w:val="00A81ED2"/>
    <w:rsid w:val="00A8237C"/>
    <w:rsid w:val="00A83857"/>
    <w:rsid w:val="00A840BA"/>
    <w:rsid w:val="00A8447A"/>
    <w:rsid w:val="00A84A74"/>
    <w:rsid w:val="00A84E89"/>
    <w:rsid w:val="00A855B8"/>
    <w:rsid w:val="00A85C31"/>
    <w:rsid w:val="00A86BAF"/>
    <w:rsid w:val="00A8706A"/>
    <w:rsid w:val="00A8769C"/>
    <w:rsid w:val="00A877E9"/>
    <w:rsid w:val="00A87E2C"/>
    <w:rsid w:val="00A9018B"/>
    <w:rsid w:val="00A90607"/>
    <w:rsid w:val="00A91A62"/>
    <w:rsid w:val="00A9204A"/>
    <w:rsid w:val="00A93579"/>
    <w:rsid w:val="00A93EB3"/>
    <w:rsid w:val="00A943C4"/>
    <w:rsid w:val="00A960F5"/>
    <w:rsid w:val="00A973A2"/>
    <w:rsid w:val="00A9743A"/>
    <w:rsid w:val="00AA13A5"/>
    <w:rsid w:val="00AA4C0F"/>
    <w:rsid w:val="00AA6A00"/>
    <w:rsid w:val="00AA6C07"/>
    <w:rsid w:val="00AB1733"/>
    <w:rsid w:val="00AB1A40"/>
    <w:rsid w:val="00AB27C9"/>
    <w:rsid w:val="00AB2C28"/>
    <w:rsid w:val="00AB3303"/>
    <w:rsid w:val="00AB4404"/>
    <w:rsid w:val="00AB5AB2"/>
    <w:rsid w:val="00AB63D4"/>
    <w:rsid w:val="00AC13FE"/>
    <w:rsid w:val="00AC1A3E"/>
    <w:rsid w:val="00AC3AF4"/>
    <w:rsid w:val="00AC77AF"/>
    <w:rsid w:val="00AC7E13"/>
    <w:rsid w:val="00AD18C1"/>
    <w:rsid w:val="00AD276D"/>
    <w:rsid w:val="00AD2989"/>
    <w:rsid w:val="00AD2A31"/>
    <w:rsid w:val="00AD2B48"/>
    <w:rsid w:val="00AD5B0D"/>
    <w:rsid w:val="00AD683A"/>
    <w:rsid w:val="00AD7731"/>
    <w:rsid w:val="00AD7E4C"/>
    <w:rsid w:val="00AE09FE"/>
    <w:rsid w:val="00AE0C2B"/>
    <w:rsid w:val="00AE11C0"/>
    <w:rsid w:val="00AE2210"/>
    <w:rsid w:val="00AE2FE0"/>
    <w:rsid w:val="00AE30BD"/>
    <w:rsid w:val="00AE3B3B"/>
    <w:rsid w:val="00AE3CEB"/>
    <w:rsid w:val="00AE4868"/>
    <w:rsid w:val="00AE68ED"/>
    <w:rsid w:val="00AE7335"/>
    <w:rsid w:val="00AF0BAC"/>
    <w:rsid w:val="00AF0C8D"/>
    <w:rsid w:val="00AF0CF5"/>
    <w:rsid w:val="00AF1019"/>
    <w:rsid w:val="00AF1FE2"/>
    <w:rsid w:val="00AF2645"/>
    <w:rsid w:val="00AF2AA4"/>
    <w:rsid w:val="00AF31E7"/>
    <w:rsid w:val="00AF374F"/>
    <w:rsid w:val="00AF5BCC"/>
    <w:rsid w:val="00AF73D2"/>
    <w:rsid w:val="00B0147A"/>
    <w:rsid w:val="00B016DC"/>
    <w:rsid w:val="00B01700"/>
    <w:rsid w:val="00B0186C"/>
    <w:rsid w:val="00B01BDD"/>
    <w:rsid w:val="00B01E66"/>
    <w:rsid w:val="00B02B01"/>
    <w:rsid w:val="00B02BAF"/>
    <w:rsid w:val="00B0326C"/>
    <w:rsid w:val="00B04453"/>
    <w:rsid w:val="00B049AF"/>
    <w:rsid w:val="00B049FF"/>
    <w:rsid w:val="00B05A8A"/>
    <w:rsid w:val="00B06214"/>
    <w:rsid w:val="00B06CAF"/>
    <w:rsid w:val="00B10971"/>
    <w:rsid w:val="00B10E1A"/>
    <w:rsid w:val="00B10FDA"/>
    <w:rsid w:val="00B119D7"/>
    <w:rsid w:val="00B12673"/>
    <w:rsid w:val="00B14428"/>
    <w:rsid w:val="00B14880"/>
    <w:rsid w:val="00B14A3D"/>
    <w:rsid w:val="00B14E66"/>
    <w:rsid w:val="00B14EDB"/>
    <w:rsid w:val="00B16127"/>
    <w:rsid w:val="00B176A3"/>
    <w:rsid w:val="00B2031F"/>
    <w:rsid w:val="00B20AB1"/>
    <w:rsid w:val="00B21055"/>
    <w:rsid w:val="00B21272"/>
    <w:rsid w:val="00B21534"/>
    <w:rsid w:val="00B224DF"/>
    <w:rsid w:val="00B2358B"/>
    <w:rsid w:val="00B235D2"/>
    <w:rsid w:val="00B256A0"/>
    <w:rsid w:val="00B264B6"/>
    <w:rsid w:val="00B267A2"/>
    <w:rsid w:val="00B26A2C"/>
    <w:rsid w:val="00B26DC5"/>
    <w:rsid w:val="00B26F4B"/>
    <w:rsid w:val="00B271D1"/>
    <w:rsid w:val="00B33DC5"/>
    <w:rsid w:val="00B34CF5"/>
    <w:rsid w:val="00B34F88"/>
    <w:rsid w:val="00B35780"/>
    <w:rsid w:val="00B364AD"/>
    <w:rsid w:val="00B36845"/>
    <w:rsid w:val="00B3710A"/>
    <w:rsid w:val="00B37383"/>
    <w:rsid w:val="00B376C8"/>
    <w:rsid w:val="00B37917"/>
    <w:rsid w:val="00B37FC4"/>
    <w:rsid w:val="00B400AB"/>
    <w:rsid w:val="00B416CA"/>
    <w:rsid w:val="00B43595"/>
    <w:rsid w:val="00B4491A"/>
    <w:rsid w:val="00B449D6"/>
    <w:rsid w:val="00B44AF4"/>
    <w:rsid w:val="00B453E0"/>
    <w:rsid w:val="00B4557C"/>
    <w:rsid w:val="00B468DE"/>
    <w:rsid w:val="00B50881"/>
    <w:rsid w:val="00B514C4"/>
    <w:rsid w:val="00B515FA"/>
    <w:rsid w:val="00B5189C"/>
    <w:rsid w:val="00B5215A"/>
    <w:rsid w:val="00B523B9"/>
    <w:rsid w:val="00B52FC0"/>
    <w:rsid w:val="00B54530"/>
    <w:rsid w:val="00B55BF2"/>
    <w:rsid w:val="00B55C9C"/>
    <w:rsid w:val="00B56F31"/>
    <w:rsid w:val="00B6027B"/>
    <w:rsid w:val="00B60879"/>
    <w:rsid w:val="00B61389"/>
    <w:rsid w:val="00B614AB"/>
    <w:rsid w:val="00B61EF5"/>
    <w:rsid w:val="00B6233C"/>
    <w:rsid w:val="00B638E2"/>
    <w:rsid w:val="00B63B7E"/>
    <w:rsid w:val="00B6495C"/>
    <w:rsid w:val="00B64C9D"/>
    <w:rsid w:val="00B65A9B"/>
    <w:rsid w:val="00B66664"/>
    <w:rsid w:val="00B673AD"/>
    <w:rsid w:val="00B67FAB"/>
    <w:rsid w:val="00B70BAA"/>
    <w:rsid w:val="00B7149D"/>
    <w:rsid w:val="00B72871"/>
    <w:rsid w:val="00B7291B"/>
    <w:rsid w:val="00B73259"/>
    <w:rsid w:val="00B74966"/>
    <w:rsid w:val="00B74B4E"/>
    <w:rsid w:val="00B76556"/>
    <w:rsid w:val="00B77AF2"/>
    <w:rsid w:val="00B77C23"/>
    <w:rsid w:val="00B77EC1"/>
    <w:rsid w:val="00B802F2"/>
    <w:rsid w:val="00B80522"/>
    <w:rsid w:val="00B81AFA"/>
    <w:rsid w:val="00B823EE"/>
    <w:rsid w:val="00B8251F"/>
    <w:rsid w:val="00B855BB"/>
    <w:rsid w:val="00B86847"/>
    <w:rsid w:val="00B8698A"/>
    <w:rsid w:val="00B86C77"/>
    <w:rsid w:val="00B87C46"/>
    <w:rsid w:val="00B9194A"/>
    <w:rsid w:val="00B91BB2"/>
    <w:rsid w:val="00B91CA9"/>
    <w:rsid w:val="00B9284F"/>
    <w:rsid w:val="00B9303C"/>
    <w:rsid w:val="00B938DE"/>
    <w:rsid w:val="00B93BFC"/>
    <w:rsid w:val="00B955EC"/>
    <w:rsid w:val="00B9602A"/>
    <w:rsid w:val="00B963FE"/>
    <w:rsid w:val="00B973C9"/>
    <w:rsid w:val="00BA191A"/>
    <w:rsid w:val="00BA20BB"/>
    <w:rsid w:val="00BA3260"/>
    <w:rsid w:val="00BA4D0E"/>
    <w:rsid w:val="00BA6698"/>
    <w:rsid w:val="00BA7DFD"/>
    <w:rsid w:val="00BB0164"/>
    <w:rsid w:val="00BB0BA7"/>
    <w:rsid w:val="00BB0E92"/>
    <w:rsid w:val="00BB1AFC"/>
    <w:rsid w:val="00BB2158"/>
    <w:rsid w:val="00BB34C5"/>
    <w:rsid w:val="00BB3B8E"/>
    <w:rsid w:val="00BB5148"/>
    <w:rsid w:val="00BB585A"/>
    <w:rsid w:val="00BB669E"/>
    <w:rsid w:val="00BB7691"/>
    <w:rsid w:val="00BB7A25"/>
    <w:rsid w:val="00BB7CAC"/>
    <w:rsid w:val="00BC01AB"/>
    <w:rsid w:val="00BC078A"/>
    <w:rsid w:val="00BC13DF"/>
    <w:rsid w:val="00BC2AC1"/>
    <w:rsid w:val="00BC4006"/>
    <w:rsid w:val="00BC5608"/>
    <w:rsid w:val="00BC700A"/>
    <w:rsid w:val="00BD0A04"/>
    <w:rsid w:val="00BD11A5"/>
    <w:rsid w:val="00BD27EC"/>
    <w:rsid w:val="00BD31CF"/>
    <w:rsid w:val="00BD3426"/>
    <w:rsid w:val="00BD39C7"/>
    <w:rsid w:val="00BD3AB5"/>
    <w:rsid w:val="00BD3D9B"/>
    <w:rsid w:val="00BD4363"/>
    <w:rsid w:val="00BD446B"/>
    <w:rsid w:val="00BD5496"/>
    <w:rsid w:val="00BD7ED2"/>
    <w:rsid w:val="00BE369B"/>
    <w:rsid w:val="00BE43FB"/>
    <w:rsid w:val="00BE5B2A"/>
    <w:rsid w:val="00BF0843"/>
    <w:rsid w:val="00BF1347"/>
    <w:rsid w:val="00BF294D"/>
    <w:rsid w:val="00BF2E42"/>
    <w:rsid w:val="00BF35FF"/>
    <w:rsid w:val="00BF4084"/>
    <w:rsid w:val="00BF42B0"/>
    <w:rsid w:val="00BF62EB"/>
    <w:rsid w:val="00BF65F7"/>
    <w:rsid w:val="00BF7303"/>
    <w:rsid w:val="00BF762C"/>
    <w:rsid w:val="00BF7B0C"/>
    <w:rsid w:val="00C01B2E"/>
    <w:rsid w:val="00C024F4"/>
    <w:rsid w:val="00C02F44"/>
    <w:rsid w:val="00C03519"/>
    <w:rsid w:val="00C0591D"/>
    <w:rsid w:val="00C06EEE"/>
    <w:rsid w:val="00C0712F"/>
    <w:rsid w:val="00C07299"/>
    <w:rsid w:val="00C075CA"/>
    <w:rsid w:val="00C11964"/>
    <w:rsid w:val="00C12762"/>
    <w:rsid w:val="00C13E88"/>
    <w:rsid w:val="00C156F6"/>
    <w:rsid w:val="00C15BDB"/>
    <w:rsid w:val="00C16840"/>
    <w:rsid w:val="00C174B1"/>
    <w:rsid w:val="00C21B9B"/>
    <w:rsid w:val="00C22486"/>
    <w:rsid w:val="00C22844"/>
    <w:rsid w:val="00C24CB4"/>
    <w:rsid w:val="00C27C45"/>
    <w:rsid w:val="00C33EB8"/>
    <w:rsid w:val="00C340AD"/>
    <w:rsid w:val="00C35EFC"/>
    <w:rsid w:val="00C36EA8"/>
    <w:rsid w:val="00C3720E"/>
    <w:rsid w:val="00C411BD"/>
    <w:rsid w:val="00C41398"/>
    <w:rsid w:val="00C418FA"/>
    <w:rsid w:val="00C41AD0"/>
    <w:rsid w:val="00C4299E"/>
    <w:rsid w:val="00C46EA0"/>
    <w:rsid w:val="00C47023"/>
    <w:rsid w:val="00C50DCF"/>
    <w:rsid w:val="00C518F9"/>
    <w:rsid w:val="00C519FB"/>
    <w:rsid w:val="00C51D3B"/>
    <w:rsid w:val="00C51FAC"/>
    <w:rsid w:val="00C5346A"/>
    <w:rsid w:val="00C534F0"/>
    <w:rsid w:val="00C53930"/>
    <w:rsid w:val="00C548FB"/>
    <w:rsid w:val="00C5493B"/>
    <w:rsid w:val="00C55584"/>
    <w:rsid w:val="00C57357"/>
    <w:rsid w:val="00C57AD8"/>
    <w:rsid w:val="00C57AF8"/>
    <w:rsid w:val="00C61FC8"/>
    <w:rsid w:val="00C630D0"/>
    <w:rsid w:val="00C6377A"/>
    <w:rsid w:val="00C63E02"/>
    <w:rsid w:val="00C663F1"/>
    <w:rsid w:val="00C66CAB"/>
    <w:rsid w:val="00C670F5"/>
    <w:rsid w:val="00C67CE3"/>
    <w:rsid w:val="00C7021B"/>
    <w:rsid w:val="00C70472"/>
    <w:rsid w:val="00C706C1"/>
    <w:rsid w:val="00C71975"/>
    <w:rsid w:val="00C71AC6"/>
    <w:rsid w:val="00C72D0F"/>
    <w:rsid w:val="00C737CB"/>
    <w:rsid w:val="00C73BCD"/>
    <w:rsid w:val="00C74554"/>
    <w:rsid w:val="00C74FB5"/>
    <w:rsid w:val="00C76E00"/>
    <w:rsid w:val="00C77019"/>
    <w:rsid w:val="00C77669"/>
    <w:rsid w:val="00C80D7C"/>
    <w:rsid w:val="00C82870"/>
    <w:rsid w:val="00C828EE"/>
    <w:rsid w:val="00C82A71"/>
    <w:rsid w:val="00C82AF5"/>
    <w:rsid w:val="00C84EDB"/>
    <w:rsid w:val="00C85E1E"/>
    <w:rsid w:val="00C86372"/>
    <w:rsid w:val="00C86D27"/>
    <w:rsid w:val="00C87C33"/>
    <w:rsid w:val="00C91D78"/>
    <w:rsid w:val="00C923EB"/>
    <w:rsid w:val="00C9372D"/>
    <w:rsid w:val="00C93B25"/>
    <w:rsid w:val="00C94864"/>
    <w:rsid w:val="00C94CBC"/>
    <w:rsid w:val="00C952F4"/>
    <w:rsid w:val="00C95B14"/>
    <w:rsid w:val="00C96E1A"/>
    <w:rsid w:val="00C96E8E"/>
    <w:rsid w:val="00C97310"/>
    <w:rsid w:val="00C97367"/>
    <w:rsid w:val="00C9767F"/>
    <w:rsid w:val="00C977C9"/>
    <w:rsid w:val="00CA107A"/>
    <w:rsid w:val="00CA1901"/>
    <w:rsid w:val="00CA31FD"/>
    <w:rsid w:val="00CA3B10"/>
    <w:rsid w:val="00CA4B74"/>
    <w:rsid w:val="00CA4C99"/>
    <w:rsid w:val="00CA6470"/>
    <w:rsid w:val="00CB17C3"/>
    <w:rsid w:val="00CB1FC8"/>
    <w:rsid w:val="00CB545F"/>
    <w:rsid w:val="00CB5BBE"/>
    <w:rsid w:val="00CB7F6B"/>
    <w:rsid w:val="00CC199D"/>
    <w:rsid w:val="00CC1F9E"/>
    <w:rsid w:val="00CC2CC2"/>
    <w:rsid w:val="00CC3917"/>
    <w:rsid w:val="00CC3C16"/>
    <w:rsid w:val="00CC407B"/>
    <w:rsid w:val="00CC4ADF"/>
    <w:rsid w:val="00CC4D25"/>
    <w:rsid w:val="00CC5315"/>
    <w:rsid w:val="00CC588A"/>
    <w:rsid w:val="00CC5EC9"/>
    <w:rsid w:val="00CC7148"/>
    <w:rsid w:val="00CC7A87"/>
    <w:rsid w:val="00CD1884"/>
    <w:rsid w:val="00CD26E1"/>
    <w:rsid w:val="00CD3218"/>
    <w:rsid w:val="00CD558F"/>
    <w:rsid w:val="00CD59F1"/>
    <w:rsid w:val="00CD7FAE"/>
    <w:rsid w:val="00CE03EE"/>
    <w:rsid w:val="00CE360E"/>
    <w:rsid w:val="00CE40BB"/>
    <w:rsid w:val="00CE4A2E"/>
    <w:rsid w:val="00CE4F4D"/>
    <w:rsid w:val="00CE7411"/>
    <w:rsid w:val="00CE78BA"/>
    <w:rsid w:val="00CF1260"/>
    <w:rsid w:val="00CF1C57"/>
    <w:rsid w:val="00CF2398"/>
    <w:rsid w:val="00CF27E1"/>
    <w:rsid w:val="00CF2838"/>
    <w:rsid w:val="00CF2C31"/>
    <w:rsid w:val="00CF3FB2"/>
    <w:rsid w:val="00CF6AA6"/>
    <w:rsid w:val="00CF7480"/>
    <w:rsid w:val="00CF74C1"/>
    <w:rsid w:val="00CF7874"/>
    <w:rsid w:val="00CF7A65"/>
    <w:rsid w:val="00D005C3"/>
    <w:rsid w:val="00D00B3C"/>
    <w:rsid w:val="00D00C4B"/>
    <w:rsid w:val="00D0132B"/>
    <w:rsid w:val="00D02D10"/>
    <w:rsid w:val="00D02D70"/>
    <w:rsid w:val="00D03FA0"/>
    <w:rsid w:val="00D05292"/>
    <w:rsid w:val="00D059DB"/>
    <w:rsid w:val="00D0613C"/>
    <w:rsid w:val="00D0696F"/>
    <w:rsid w:val="00D07C39"/>
    <w:rsid w:val="00D07CCD"/>
    <w:rsid w:val="00D07FB1"/>
    <w:rsid w:val="00D105ED"/>
    <w:rsid w:val="00D11AB8"/>
    <w:rsid w:val="00D11B78"/>
    <w:rsid w:val="00D11CE4"/>
    <w:rsid w:val="00D12088"/>
    <w:rsid w:val="00D12344"/>
    <w:rsid w:val="00D13BA0"/>
    <w:rsid w:val="00D146B7"/>
    <w:rsid w:val="00D14C40"/>
    <w:rsid w:val="00D15F3B"/>
    <w:rsid w:val="00D1653E"/>
    <w:rsid w:val="00D170C4"/>
    <w:rsid w:val="00D173EA"/>
    <w:rsid w:val="00D1779F"/>
    <w:rsid w:val="00D20BB9"/>
    <w:rsid w:val="00D20BD4"/>
    <w:rsid w:val="00D20EE8"/>
    <w:rsid w:val="00D21140"/>
    <w:rsid w:val="00D21669"/>
    <w:rsid w:val="00D244DC"/>
    <w:rsid w:val="00D27A11"/>
    <w:rsid w:val="00D27B8B"/>
    <w:rsid w:val="00D27FF9"/>
    <w:rsid w:val="00D31E27"/>
    <w:rsid w:val="00D3206F"/>
    <w:rsid w:val="00D324A4"/>
    <w:rsid w:val="00D330AC"/>
    <w:rsid w:val="00D334BC"/>
    <w:rsid w:val="00D346A8"/>
    <w:rsid w:val="00D3520C"/>
    <w:rsid w:val="00D36CE3"/>
    <w:rsid w:val="00D37EA3"/>
    <w:rsid w:val="00D41569"/>
    <w:rsid w:val="00D4185F"/>
    <w:rsid w:val="00D455CF"/>
    <w:rsid w:val="00D461E5"/>
    <w:rsid w:val="00D46423"/>
    <w:rsid w:val="00D470E5"/>
    <w:rsid w:val="00D4750B"/>
    <w:rsid w:val="00D47B9A"/>
    <w:rsid w:val="00D47BA2"/>
    <w:rsid w:val="00D5002C"/>
    <w:rsid w:val="00D524AD"/>
    <w:rsid w:val="00D540F8"/>
    <w:rsid w:val="00D557ED"/>
    <w:rsid w:val="00D57111"/>
    <w:rsid w:val="00D61311"/>
    <w:rsid w:val="00D6216C"/>
    <w:rsid w:val="00D6574A"/>
    <w:rsid w:val="00D676DF"/>
    <w:rsid w:val="00D701E3"/>
    <w:rsid w:val="00D702CF"/>
    <w:rsid w:val="00D703E1"/>
    <w:rsid w:val="00D70EFD"/>
    <w:rsid w:val="00D71615"/>
    <w:rsid w:val="00D71CCB"/>
    <w:rsid w:val="00D74BC0"/>
    <w:rsid w:val="00D7576E"/>
    <w:rsid w:val="00D75EBA"/>
    <w:rsid w:val="00D76134"/>
    <w:rsid w:val="00D81425"/>
    <w:rsid w:val="00D8232C"/>
    <w:rsid w:val="00D82F97"/>
    <w:rsid w:val="00D83AE0"/>
    <w:rsid w:val="00D84C1F"/>
    <w:rsid w:val="00D85219"/>
    <w:rsid w:val="00D85522"/>
    <w:rsid w:val="00D85F55"/>
    <w:rsid w:val="00D86528"/>
    <w:rsid w:val="00D8699A"/>
    <w:rsid w:val="00D86B19"/>
    <w:rsid w:val="00D87015"/>
    <w:rsid w:val="00D87E2D"/>
    <w:rsid w:val="00D87F09"/>
    <w:rsid w:val="00D901CC"/>
    <w:rsid w:val="00D91484"/>
    <w:rsid w:val="00D91488"/>
    <w:rsid w:val="00D916DC"/>
    <w:rsid w:val="00D934A8"/>
    <w:rsid w:val="00D93799"/>
    <w:rsid w:val="00D93B31"/>
    <w:rsid w:val="00D94773"/>
    <w:rsid w:val="00D94EC0"/>
    <w:rsid w:val="00D9530B"/>
    <w:rsid w:val="00D95664"/>
    <w:rsid w:val="00D95D36"/>
    <w:rsid w:val="00D966CD"/>
    <w:rsid w:val="00D968B1"/>
    <w:rsid w:val="00D96B6E"/>
    <w:rsid w:val="00DA01FE"/>
    <w:rsid w:val="00DA02F8"/>
    <w:rsid w:val="00DA19AD"/>
    <w:rsid w:val="00DA3F67"/>
    <w:rsid w:val="00DA724C"/>
    <w:rsid w:val="00DA7FDC"/>
    <w:rsid w:val="00DB0D04"/>
    <w:rsid w:val="00DB0D6D"/>
    <w:rsid w:val="00DB1A6B"/>
    <w:rsid w:val="00DB2010"/>
    <w:rsid w:val="00DB220E"/>
    <w:rsid w:val="00DB5390"/>
    <w:rsid w:val="00DB58EA"/>
    <w:rsid w:val="00DB59B6"/>
    <w:rsid w:val="00DB6BFB"/>
    <w:rsid w:val="00DC0673"/>
    <w:rsid w:val="00DC0DC7"/>
    <w:rsid w:val="00DC2AF5"/>
    <w:rsid w:val="00DC2B77"/>
    <w:rsid w:val="00DC3522"/>
    <w:rsid w:val="00DC45AD"/>
    <w:rsid w:val="00DC46DC"/>
    <w:rsid w:val="00DC53EE"/>
    <w:rsid w:val="00DC6C0F"/>
    <w:rsid w:val="00DC6F7D"/>
    <w:rsid w:val="00DC7409"/>
    <w:rsid w:val="00DC7A60"/>
    <w:rsid w:val="00DD1792"/>
    <w:rsid w:val="00DD3FFA"/>
    <w:rsid w:val="00DD497F"/>
    <w:rsid w:val="00DD52A9"/>
    <w:rsid w:val="00DD5F4E"/>
    <w:rsid w:val="00DD691B"/>
    <w:rsid w:val="00DD724A"/>
    <w:rsid w:val="00DD7261"/>
    <w:rsid w:val="00DE246A"/>
    <w:rsid w:val="00DE28E4"/>
    <w:rsid w:val="00DE318E"/>
    <w:rsid w:val="00DE3672"/>
    <w:rsid w:val="00DE3722"/>
    <w:rsid w:val="00DE3981"/>
    <w:rsid w:val="00DE4887"/>
    <w:rsid w:val="00DE4952"/>
    <w:rsid w:val="00DE5410"/>
    <w:rsid w:val="00DE5A51"/>
    <w:rsid w:val="00DE6F46"/>
    <w:rsid w:val="00DE7684"/>
    <w:rsid w:val="00DF0870"/>
    <w:rsid w:val="00DF3311"/>
    <w:rsid w:val="00DF4E1B"/>
    <w:rsid w:val="00DF53C5"/>
    <w:rsid w:val="00DF5548"/>
    <w:rsid w:val="00DF56D7"/>
    <w:rsid w:val="00DF5C2A"/>
    <w:rsid w:val="00DF657F"/>
    <w:rsid w:val="00DF7023"/>
    <w:rsid w:val="00E0049C"/>
    <w:rsid w:val="00E00D46"/>
    <w:rsid w:val="00E01098"/>
    <w:rsid w:val="00E010A8"/>
    <w:rsid w:val="00E015F3"/>
    <w:rsid w:val="00E015FB"/>
    <w:rsid w:val="00E04F88"/>
    <w:rsid w:val="00E05190"/>
    <w:rsid w:val="00E05F01"/>
    <w:rsid w:val="00E07423"/>
    <w:rsid w:val="00E079B3"/>
    <w:rsid w:val="00E07EF5"/>
    <w:rsid w:val="00E1265F"/>
    <w:rsid w:val="00E149C6"/>
    <w:rsid w:val="00E14D01"/>
    <w:rsid w:val="00E15B8F"/>
    <w:rsid w:val="00E16134"/>
    <w:rsid w:val="00E1623C"/>
    <w:rsid w:val="00E16539"/>
    <w:rsid w:val="00E16B44"/>
    <w:rsid w:val="00E172E7"/>
    <w:rsid w:val="00E21007"/>
    <w:rsid w:val="00E21193"/>
    <w:rsid w:val="00E212E9"/>
    <w:rsid w:val="00E22806"/>
    <w:rsid w:val="00E22DCA"/>
    <w:rsid w:val="00E25760"/>
    <w:rsid w:val="00E26F9D"/>
    <w:rsid w:val="00E312D0"/>
    <w:rsid w:val="00E32606"/>
    <w:rsid w:val="00E33C6F"/>
    <w:rsid w:val="00E379C0"/>
    <w:rsid w:val="00E40194"/>
    <w:rsid w:val="00E4053B"/>
    <w:rsid w:val="00E41BAC"/>
    <w:rsid w:val="00E41F2B"/>
    <w:rsid w:val="00E42135"/>
    <w:rsid w:val="00E43E10"/>
    <w:rsid w:val="00E4488D"/>
    <w:rsid w:val="00E44A01"/>
    <w:rsid w:val="00E454EA"/>
    <w:rsid w:val="00E45985"/>
    <w:rsid w:val="00E4675E"/>
    <w:rsid w:val="00E474E2"/>
    <w:rsid w:val="00E50198"/>
    <w:rsid w:val="00E5129A"/>
    <w:rsid w:val="00E52A69"/>
    <w:rsid w:val="00E54FF2"/>
    <w:rsid w:val="00E56BC9"/>
    <w:rsid w:val="00E5734D"/>
    <w:rsid w:val="00E57680"/>
    <w:rsid w:val="00E57A1A"/>
    <w:rsid w:val="00E603B6"/>
    <w:rsid w:val="00E6322B"/>
    <w:rsid w:val="00E642BD"/>
    <w:rsid w:val="00E66452"/>
    <w:rsid w:val="00E67ACA"/>
    <w:rsid w:val="00E701CE"/>
    <w:rsid w:val="00E701E2"/>
    <w:rsid w:val="00E7133C"/>
    <w:rsid w:val="00E72E48"/>
    <w:rsid w:val="00E73322"/>
    <w:rsid w:val="00E73947"/>
    <w:rsid w:val="00E74024"/>
    <w:rsid w:val="00E748FA"/>
    <w:rsid w:val="00E74DE7"/>
    <w:rsid w:val="00E74EA1"/>
    <w:rsid w:val="00E7507D"/>
    <w:rsid w:val="00E759C0"/>
    <w:rsid w:val="00E77BF4"/>
    <w:rsid w:val="00E80A60"/>
    <w:rsid w:val="00E80CD1"/>
    <w:rsid w:val="00E81F0B"/>
    <w:rsid w:val="00E84538"/>
    <w:rsid w:val="00E852CA"/>
    <w:rsid w:val="00E853F5"/>
    <w:rsid w:val="00E86E78"/>
    <w:rsid w:val="00E875F7"/>
    <w:rsid w:val="00E87D45"/>
    <w:rsid w:val="00E91976"/>
    <w:rsid w:val="00E920AC"/>
    <w:rsid w:val="00E92615"/>
    <w:rsid w:val="00E94C6D"/>
    <w:rsid w:val="00E957AC"/>
    <w:rsid w:val="00E97965"/>
    <w:rsid w:val="00E97A72"/>
    <w:rsid w:val="00EA27FB"/>
    <w:rsid w:val="00EA394D"/>
    <w:rsid w:val="00EA7238"/>
    <w:rsid w:val="00EB003C"/>
    <w:rsid w:val="00EB00E5"/>
    <w:rsid w:val="00EB06F5"/>
    <w:rsid w:val="00EB1B99"/>
    <w:rsid w:val="00EB2C25"/>
    <w:rsid w:val="00EB2FC4"/>
    <w:rsid w:val="00EB325C"/>
    <w:rsid w:val="00EB3DFD"/>
    <w:rsid w:val="00EB5DFA"/>
    <w:rsid w:val="00EB70D7"/>
    <w:rsid w:val="00EB711D"/>
    <w:rsid w:val="00EB73B8"/>
    <w:rsid w:val="00EB7D31"/>
    <w:rsid w:val="00EC243C"/>
    <w:rsid w:val="00EC265B"/>
    <w:rsid w:val="00EC28FC"/>
    <w:rsid w:val="00EC4767"/>
    <w:rsid w:val="00EC4DA9"/>
    <w:rsid w:val="00EC63D2"/>
    <w:rsid w:val="00EC7829"/>
    <w:rsid w:val="00EC7E73"/>
    <w:rsid w:val="00ED0B4E"/>
    <w:rsid w:val="00ED15B7"/>
    <w:rsid w:val="00ED1E4B"/>
    <w:rsid w:val="00ED2762"/>
    <w:rsid w:val="00ED4D97"/>
    <w:rsid w:val="00ED5165"/>
    <w:rsid w:val="00ED70EA"/>
    <w:rsid w:val="00EE0452"/>
    <w:rsid w:val="00EE0A14"/>
    <w:rsid w:val="00EE0EC6"/>
    <w:rsid w:val="00EE25A4"/>
    <w:rsid w:val="00EE398E"/>
    <w:rsid w:val="00EE5360"/>
    <w:rsid w:val="00EF2257"/>
    <w:rsid w:val="00EF3095"/>
    <w:rsid w:val="00EF4433"/>
    <w:rsid w:val="00EF4C2C"/>
    <w:rsid w:val="00EF5791"/>
    <w:rsid w:val="00EF5969"/>
    <w:rsid w:val="00EF65F3"/>
    <w:rsid w:val="00EF6773"/>
    <w:rsid w:val="00EF7194"/>
    <w:rsid w:val="00EF76F7"/>
    <w:rsid w:val="00F00AD3"/>
    <w:rsid w:val="00F029D7"/>
    <w:rsid w:val="00F033DB"/>
    <w:rsid w:val="00F039F6"/>
    <w:rsid w:val="00F03DBE"/>
    <w:rsid w:val="00F03E6C"/>
    <w:rsid w:val="00F04A07"/>
    <w:rsid w:val="00F04A9C"/>
    <w:rsid w:val="00F06388"/>
    <w:rsid w:val="00F077D4"/>
    <w:rsid w:val="00F07838"/>
    <w:rsid w:val="00F07AE0"/>
    <w:rsid w:val="00F1141A"/>
    <w:rsid w:val="00F11C3F"/>
    <w:rsid w:val="00F11F0C"/>
    <w:rsid w:val="00F13152"/>
    <w:rsid w:val="00F13C39"/>
    <w:rsid w:val="00F151EF"/>
    <w:rsid w:val="00F15AD8"/>
    <w:rsid w:val="00F1667C"/>
    <w:rsid w:val="00F16829"/>
    <w:rsid w:val="00F16933"/>
    <w:rsid w:val="00F16D00"/>
    <w:rsid w:val="00F173A9"/>
    <w:rsid w:val="00F17721"/>
    <w:rsid w:val="00F17C65"/>
    <w:rsid w:val="00F17F38"/>
    <w:rsid w:val="00F20B81"/>
    <w:rsid w:val="00F21729"/>
    <w:rsid w:val="00F22133"/>
    <w:rsid w:val="00F23DB2"/>
    <w:rsid w:val="00F23EC8"/>
    <w:rsid w:val="00F241AD"/>
    <w:rsid w:val="00F24E07"/>
    <w:rsid w:val="00F25EBD"/>
    <w:rsid w:val="00F27F3D"/>
    <w:rsid w:val="00F317A6"/>
    <w:rsid w:val="00F3483B"/>
    <w:rsid w:val="00F365FE"/>
    <w:rsid w:val="00F36DA9"/>
    <w:rsid w:val="00F37C9D"/>
    <w:rsid w:val="00F37D12"/>
    <w:rsid w:val="00F404E2"/>
    <w:rsid w:val="00F404E5"/>
    <w:rsid w:val="00F40B42"/>
    <w:rsid w:val="00F418A6"/>
    <w:rsid w:val="00F41CDF"/>
    <w:rsid w:val="00F42155"/>
    <w:rsid w:val="00F42750"/>
    <w:rsid w:val="00F42C6C"/>
    <w:rsid w:val="00F43391"/>
    <w:rsid w:val="00F448BD"/>
    <w:rsid w:val="00F456E7"/>
    <w:rsid w:val="00F458CA"/>
    <w:rsid w:val="00F46589"/>
    <w:rsid w:val="00F46A23"/>
    <w:rsid w:val="00F4704F"/>
    <w:rsid w:val="00F471E1"/>
    <w:rsid w:val="00F47AE4"/>
    <w:rsid w:val="00F50046"/>
    <w:rsid w:val="00F528D5"/>
    <w:rsid w:val="00F55022"/>
    <w:rsid w:val="00F5610F"/>
    <w:rsid w:val="00F563D9"/>
    <w:rsid w:val="00F5788E"/>
    <w:rsid w:val="00F57B2E"/>
    <w:rsid w:val="00F57E7F"/>
    <w:rsid w:val="00F600D4"/>
    <w:rsid w:val="00F61324"/>
    <w:rsid w:val="00F6168A"/>
    <w:rsid w:val="00F61790"/>
    <w:rsid w:val="00F61BAD"/>
    <w:rsid w:val="00F627E1"/>
    <w:rsid w:val="00F6414A"/>
    <w:rsid w:val="00F66D73"/>
    <w:rsid w:val="00F67132"/>
    <w:rsid w:val="00F7095E"/>
    <w:rsid w:val="00F7197E"/>
    <w:rsid w:val="00F72FE5"/>
    <w:rsid w:val="00F73E6C"/>
    <w:rsid w:val="00F743A6"/>
    <w:rsid w:val="00F750E0"/>
    <w:rsid w:val="00F8074D"/>
    <w:rsid w:val="00F828A3"/>
    <w:rsid w:val="00F829AE"/>
    <w:rsid w:val="00F83ADD"/>
    <w:rsid w:val="00F83B91"/>
    <w:rsid w:val="00F83D16"/>
    <w:rsid w:val="00F83E16"/>
    <w:rsid w:val="00F854C1"/>
    <w:rsid w:val="00F87D4F"/>
    <w:rsid w:val="00F90CC2"/>
    <w:rsid w:val="00F9359C"/>
    <w:rsid w:val="00F94890"/>
    <w:rsid w:val="00F950F8"/>
    <w:rsid w:val="00F9569F"/>
    <w:rsid w:val="00F95AC8"/>
    <w:rsid w:val="00F963AE"/>
    <w:rsid w:val="00F9698A"/>
    <w:rsid w:val="00F96D3E"/>
    <w:rsid w:val="00F96DB9"/>
    <w:rsid w:val="00F97892"/>
    <w:rsid w:val="00F97CCB"/>
    <w:rsid w:val="00FA0651"/>
    <w:rsid w:val="00FA144A"/>
    <w:rsid w:val="00FA4C8C"/>
    <w:rsid w:val="00FA566B"/>
    <w:rsid w:val="00FA7153"/>
    <w:rsid w:val="00FA7DBD"/>
    <w:rsid w:val="00FB0B62"/>
    <w:rsid w:val="00FB123E"/>
    <w:rsid w:val="00FB21D4"/>
    <w:rsid w:val="00FB2CBF"/>
    <w:rsid w:val="00FB368E"/>
    <w:rsid w:val="00FB4ED5"/>
    <w:rsid w:val="00FB56C9"/>
    <w:rsid w:val="00FB70CE"/>
    <w:rsid w:val="00FC1E49"/>
    <w:rsid w:val="00FC3C42"/>
    <w:rsid w:val="00FC454B"/>
    <w:rsid w:val="00FC457F"/>
    <w:rsid w:val="00FC46D3"/>
    <w:rsid w:val="00FC4847"/>
    <w:rsid w:val="00FC5309"/>
    <w:rsid w:val="00FD0A13"/>
    <w:rsid w:val="00FD24B0"/>
    <w:rsid w:val="00FD42D9"/>
    <w:rsid w:val="00FD5019"/>
    <w:rsid w:val="00FD6AFF"/>
    <w:rsid w:val="00FD79E0"/>
    <w:rsid w:val="00FE06F6"/>
    <w:rsid w:val="00FE11E7"/>
    <w:rsid w:val="00FE1854"/>
    <w:rsid w:val="00FE1D95"/>
    <w:rsid w:val="00FE69BA"/>
    <w:rsid w:val="00FE7432"/>
    <w:rsid w:val="00FE74DA"/>
    <w:rsid w:val="00FF02EE"/>
    <w:rsid w:val="00FF1A98"/>
    <w:rsid w:val="00FF4027"/>
    <w:rsid w:val="00FF47F0"/>
    <w:rsid w:val="00FF5085"/>
    <w:rsid w:val="00FF719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337921"/>
    <o:shapelayout v:ext="edit">
      <o:idmap v:ext="edit" data="1"/>
    </o:shapelayout>
  </w:shapeDefaults>
  <w:decimalSymbol w:val=","/>
  <w:listSeparator w:val=";"/>
  <w14:docId w14:val="2FFE5085"/>
  <w15:docId w15:val="{E2B720BA-A63C-4DCB-95B2-216605168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3C7472"/>
  </w:style>
  <w:style w:type="paragraph" w:styleId="Pealkiri1">
    <w:name w:val="heading 1"/>
    <w:basedOn w:val="Normaallaad"/>
    <w:next w:val="Normaallaad"/>
    <w:link w:val="Pealkiri1Mrk"/>
    <w:uiPriority w:val="9"/>
    <w:rsid w:val="00494308"/>
    <w:pPr>
      <w:keepNext/>
      <w:keepLines/>
      <w:numPr>
        <w:numId w:val="3"/>
      </w:numPr>
      <w:spacing w:before="800"/>
      <w:ind w:left="431" w:hanging="431"/>
      <w:outlineLvl w:val="0"/>
    </w:pPr>
    <w:rPr>
      <w:rFonts w:eastAsiaTheme="majorEastAsia" w:cstheme="majorBidi"/>
      <w:b/>
      <w:color w:val="006EB5"/>
      <w:sz w:val="32"/>
      <w:szCs w:val="32"/>
    </w:rPr>
  </w:style>
  <w:style w:type="paragraph" w:styleId="Pealkiri2">
    <w:name w:val="heading 2"/>
    <w:basedOn w:val="Normaallaad"/>
    <w:next w:val="Normaallaad"/>
    <w:link w:val="Pealkiri2Mrk"/>
    <w:uiPriority w:val="9"/>
    <w:unhideWhenUsed/>
    <w:rsid w:val="00494308"/>
    <w:pPr>
      <w:keepNext/>
      <w:keepLines/>
      <w:numPr>
        <w:ilvl w:val="1"/>
        <w:numId w:val="3"/>
      </w:numPr>
      <w:spacing w:before="40"/>
      <w:outlineLvl w:val="1"/>
    </w:pPr>
    <w:rPr>
      <w:rFonts w:eastAsiaTheme="majorEastAsia" w:cstheme="majorBidi"/>
      <w:b/>
      <w:color w:val="006EB5"/>
      <w:sz w:val="26"/>
      <w:szCs w:val="26"/>
    </w:rPr>
  </w:style>
  <w:style w:type="paragraph" w:styleId="Pealkiri3">
    <w:name w:val="heading 3"/>
    <w:basedOn w:val="Normaallaad"/>
    <w:next w:val="Normaallaad"/>
    <w:link w:val="Pealkiri3Mrk"/>
    <w:uiPriority w:val="9"/>
    <w:unhideWhenUsed/>
    <w:rsid w:val="00494308"/>
    <w:pPr>
      <w:keepNext/>
      <w:keepLines/>
      <w:numPr>
        <w:ilvl w:val="2"/>
        <w:numId w:val="3"/>
      </w:numPr>
      <w:outlineLvl w:val="2"/>
    </w:pPr>
    <w:rPr>
      <w:rFonts w:eastAsiaTheme="majorEastAsia" w:cstheme="majorBidi"/>
      <w:b/>
      <w:color w:val="006EB5"/>
      <w:szCs w:val="24"/>
    </w:rPr>
  </w:style>
  <w:style w:type="paragraph" w:styleId="Pealkiri4">
    <w:name w:val="heading 4"/>
    <w:aliases w:val="Tekstisisene pk"/>
    <w:basedOn w:val="Normaallaad"/>
    <w:next w:val="Normaallaad"/>
    <w:link w:val="Pealkiri4Mrk"/>
    <w:uiPriority w:val="9"/>
    <w:unhideWhenUsed/>
    <w:qFormat/>
    <w:rsid w:val="00494308"/>
    <w:pPr>
      <w:keepNext/>
      <w:keepLines/>
      <w:spacing w:before="160" w:after="40"/>
      <w:outlineLvl w:val="3"/>
    </w:pPr>
    <w:rPr>
      <w:rFonts w:eastAsiaTheme="majorEastAsia" w:cstheme="majorBidi"/>
      <w:b/>
      <w:iCs/>
    </w:rPr>
  </w:style>
  <w:style w:type="paragraph" w:styleId="Pealkiri5">
    <w:name w:val="heading 5"/>
    <w:basedOn w:val="Normaallaad"/>
    <w:next w:val="Normaallaad"/>
    <w:link w:val="Pealkiri5Mrk"/>
    <w:uiPriority w:val="9"/>
    <w:unhideWhenUsed/>
    <w:rsid w:val="00494308"/>
    <w:pPr>
      <w:keepNext/>
      <w:keepLines/>
      <w:spacing w:before="40" w:after="0"/>
      <w:outlineLvl w:val="4"/>
    </w:pPr>
    <w:rPr>
      <w:rFonts w:eastAsiaTheme="majorEastAsia" w:cstheme="majorBidi"/>
    </w:rPr>
  </w:style>
  <w:style w:type="paragraph" w:styleId="Pealkiri6">
    <w:name w:val="heading 6"/>
    <w:basedOn w:val="Normaallaad"/>
    <w:next w:val="Normaallaad"/>
    <w:link w:val="Pealkiri6Mrk"/>
    <w:uiPriority w:val="9"/>
    <w:semiHidden/>
    <w:unhideWhenUsed/>
    <w:qFormat/>
    <w:rsid w:val="00494308"/>
    <w:pPr>
      <w:keepNext/>
      <w:keepLines/>
      <w:numPr>
        <w:ilvl w:val="5"/>
        <w:numId w:val="3"/>
      </w:numPr>
      <w:spacing w:before="40" w:after="0"/>
      <w:outlineLvl w:val="5"/>
    </w:pPr>
    <w:rPr>
      <w:rFonts w:asciiTheme="majorHAnsi" w:eastAsiaTheme="majorEastAsia" w:hAnsiTheme="majorHAnsi" w:cstheme="majorBidi"/>
      <w:color w:val="002D5D" w:themeColor="accent1" w:themeShade="7F"/>
    </w:rPr>
  </w:style>
  <w:style w:type="paragraph" w:styleId="Pealkiri7">
    <w:name w:val="heading 7"/>
    <w:basedOn w:val="Normaallaad"/>
    <w:next w:val="Normaallaad"/>
    <w:link w:val="Pealkiri7Mrk"/>
    <w:uiPriority w:val="9"/>
    <w:semiHidden/>
    <w:unhideWhenUsed/>
    <w:qFormat/>
    <w:rsid w:val="00494308"/>
    <w:pPr>
      <w:keepNext/>
      <w:keepLines/>
      <w:numPr>
        <w:ilvl w:val="6"/>
        <w:numId w:val="3"/>
      </w:numPr>
      <w:spacing w:before="40" w:after="0"/>
      <w:outlineLvl w:val="6"/>
    </w:pPr>
    <w:rPr>
      <w:rFonts w:asciiTheme="majorHAnsi" w:eastAsiaTheme="majorEastAsia" w:hAnsiTheme="majorHAnsi" w:cstheme="majorBidi"/>
      <w:i/>
      <w:iCs/>
      <w:color w:val="002D5D" w:themeColor="accent1" w:themeShade="7F"/>
    </w:rPr>
  </w:style>
  <w:style w:type="paragraph" w:styleId="Pealkiri8">
    <w:name w:val="heading 8"/>
    <w:basedOn w:val="Normaallaad"/>
    <w:next w:val="Normaallaad"/>
    <w:link w:val="Pealkiri8Mrk"/>
    <w:uiPriority w:val="9"/>
    <w:semiHidden/>
    <w:unhideWhenUsed/>
    <w:qFormat/>
    <w:rsid w:val="00494308"/>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494308"/>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rsid w:val="003C7472"/>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rsid w:val="003C7472"/>
  </w:style>
  <w:style w:type="character" w:customStyle="1" w:styleId="Pealkiri1Mrk">
    <w:name w:val="Pealkiri 1 Märk"/>
    <w:basedOn w:val="Liguvaikefont"/>
    <w:link w:val="Pealkiri1"/>
    <w:uiPriority w:val="9"/>
    <w:rsid w:val="00494308"/>
    <w:rPr>
      <w:rFonts w:eastAsiaTheme="majorEastAsia" w:cstheme="majorBidi"/>
      <w:b/>
      <w:color w:val="006EB5"/>
      <w:sz w:val="32"/>
      <w:szCs w:val="32"/>
    </w:rPr>
  </w:style>
  <w:style w:type="character" w:customStyle="1" w:styleId="Pealkiri2Mrk">
    <w:name w:val="Pealkiri 2 Märk"/>
    <w:basedOn w:val="Liguvaikefont"/>
    <w:link w:val="Pealkiri2"/>
    <w:uiPriority w:val="9"/>
    <w:rsid w:val="00494308"/>
    <w:rPr>
      <w:rFonts w:eastAsiaTheme="majorEastAsia" w:cstheme="majorBidi"/>
      <w:b/>
      <w:color w:val="006EB5"/>
      <w:sz w:val="26"/>
      <w:szCs w:val="26"/>
    </w:rPr>
  </w:style>
  <w:style w:type="character" w:customStyle="1" w:styleId="Pealkiri3Mrk">
    <w:name w:val="Pealkiri 3 Märk"/>
    <w:basedOn w:val="Liguvaikefont"/>
    <w:link w:val="Pealkiri3"/>
    <w:uiPriority w:val="9"/>
    <w:rsid w:val="00494308"/>
    <w:rPr>
      <w:rFonts w:eastAsiaTheme="majorEastAsia" w:cstheme="majorBidi"/>
      <w:b/>
      <w:color w:val="006EB5"/>
      <w:szCs w:val="24"/>
    </w:rPr>
  </w:style>
  <w:style w:type="character" w:customStyle="1" w:styleId="Pealkiri4Mrk">
    <w:name w:val="Pealkiri 4 Märk"/>
    <w:aliases w:val="Tekstisisene pk Märk"/>
    <w:basedOn w:val="Liguvaikefont"/>
    <w:link w:val="Pealkiri4"/>
    <w:uiPriority w:val="9"/>
    <w:rsid w:val="00494308"/>
    <w:rPr>
      <w:rFonts w:ascii="Roboto Condensed" w:eastAsiaTheme="majorEastAsia" w:hAnsi="Roboto Condensed" w:cstheme="majorBidi"/>
      <w:b/>
      <w:iCs/>
      <w:sz w:val="24"/>
    </w:rPr>
  </w:style>
  <w:style w:type="character" w:customStyle="1" w:styleId="Pealkiri5Mrk">
    <w:name w:val="Pealkiri 5 Märk"/>
    <w:basedOn w:val="Liguvaikefont"/>
    <w:link w:val="Pealkiri5"/>
    <w:uiPriority w:val="9"/>
    <w:rsid w:val="00494308"/>
    <w:rPr>
      <w:rFonts w:ascii="Roboto Condensed" w:eastAsiaTheme="majorEastAsia" w:hAnsi="Roboto Condensed" w:cstheme="majorBidi"/>
      <w:sz w:val="24"/>
    </w:rPr>
  </w:style>
  <w:style w:type="character" w:customStyle="1" w:styleId="Pealkiri6Mrk">
    <w:name w:val="Pealkiri 6 Märk"/>
    <w:basedOn w:val="Liguvaikefont"/>
    <w:link w:val="Pealkiri6"/>
    <w:uiPriority w:val="9"/>
    <w:semiHidden/>
    <w:rsid w:val="00494308"/>
    <w:rPr>
      <w:rFonts w:asciiTheme="majorHAnsi" w:eastAsiaTheme="majorEastAsia" w:hAnsiTheme="majorHAnsi" w:cstheme="majorBidi"/>
      <w:color w:val="002D5D" w:themeColor="accent1" w:themeShade="7F"/>
    </w:rPr>
  </w:style>
  <w:style w:type="character" w:customStyle="1" w:styleId="Pealkiri7Mrk">
    <w:name w:val="Pealkiri 7 Märk"/>
    <w:basedOn w:val="Liguvaikefont"/>
    <w:link w:val="Pealkiri7"/>
    <w:uiPriority w:val="9"/>
    <w:semiHidden/>
    <w:rsid w:val="00494308"/>
    <w:rPr>
      <w:rFonts w:asciiTheme="majorHAnsi" w:eastAsiaTheme="majorEastAsia" w:hAnsiTheme="majorHAnsi" w:cstheme="majorBidi"/>
      <w:i/>
      <w:iCs/>
      <w:color w:val="002D5D" w:themeColor="accent1" w:themeShade="7F"/>
    </w:rPr>
  </w:style>
  <w:style w:type="character" w:customStyle="1" w:styleId="Pealkiri8Mrk">
    <w:name w:val="Pealkiri 8 Märk"/>
    <w:basedOn w:val="Liguvaikefont"/>
    <w:link w:val="Pealkiri8"/>
    <w:uiPriority w:val="9"/>
    <w:semiHidden/>
    <w:rsid w:val="00494308"/>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494308"/>
    <w:rPr>
      <w:rFonts w:asciiTheme="majorHAnsi" w:eastAsiaTheme="majorEastAsia" w:hAnsiTheme="majorHAnsi" w:cstheme="majorBidi"/>
      <w:i/>
      <w:iCs/>
      <w:color w:val="272727" w:themeColor="text1" w:themeTint="D8"/>
      <w:sz w:val="21"/>
      <w:szCs w:val="21"/>
    </w:rPr>
  </w:style>
  <w:style w:type="paragraph" w:styleId="Jutumullitekst">
    <w:name w:val="Balloon Text"/>
    <w:basedOn w:val="Normaallaad"/>
    <w:link w:val="JutumullitekstMrk"/>
    <w:uiPriority w:val="99"/>
    <w:semiHidden/>
    <w:unhideWhenUsed/>
    <w:rsid w:val="00494308"/>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494308"/>
    <w:rPr>
      <w:rFonts w:ascii="Segoe UI" w:hAnsi="Segoe UI" w:cs="Segoe UI"/>
      <w:sz w:val="18"/>
      <w:szCs w:val="18"/>
    </w:rPr>
  </w:style>
  <w:style w:type="paragraph" w:styleId="SK1">
    <w:name w:val="toc 1"/>
    <w:basedOn w:val="Normaallaad"/>
    <w:next w:val="Normaallaad"/>
    <w:autoRedefine/>
    <w:uiPriority w:val="39"/>
    <w:unhideWhenUsed/>
    <w:rsid w:val="00494308"/>
    <w:pPr>
      <w:tabs>
        <w:tab w:val="left" w:pos="567"/>
        <w:tab w:val="right" w:pos="9968"/>
      </w:tabs>
    </w:pPr>
    <w:rPr>
      <w:rFonts w:cstheme="minorHAnsi"/>
      <w:b/>
      <w:bCs/>
      <w:caps/>
      <w:szCs w:val="20"/>
    </w:rPr>
  </w:style>
  <w:style w:type="character" w:styleId="Hperlink">
    <w:name w:val="Hyperlink"/>
    <w:basedOn w:val="Liguvaikefont"/>
    <w:uiPriority w:val="99"/>
    <w:unhideWhenUsed/>
    <w:rsid w:val="00494308"/>
    <w:rPr>
      <w:color w:val="0563C1" w:themeColor="hyperlink"/>
      <w:u w:val="single"/>
    </w:rPr>
  </w:style>
  <w:style w:type="paragraph" w:styleId="Alapealkiri">
    <w:name w:val="Subtitle"/>
    <w:basedOn w:val="Normaallaad"/>
    <w:next w:val="Normaallaad"/>
    <w:link w:val="AlapealkiriMrk"/>
    <w:uiPriority w:val="11"/>
    <w:rsid w:val="00494308"/>
    <w:pPr>
      <w:numPr>
        <w:ilvl w:val="1"/>
      </w:numPr>
      <w:spacing w:before="40"/>
    </w:pPr>
    <w:rPr>
      <w:rFonts w:eastAsiaTheme="minorEastAsia"/>
      <w:i/>
      <w:color w:val="5A5A5A" w:themeColor="text1" w:themeTint="A5"/>
      <w:sz w:val="18"/>
    </w:rPr>
  </w:style>
  <w:style w:type="character" w:customStyle="1" w:styleId="AlapealkiriMrk">
    <w:name w:val="Alapealkiri Märk"/>
    <w:basedOn w:val="Liguvaikefont"/>
    <w:link w:val="Alapealkiri"/>
    <w:uiPriority w:val="11"/>
    <w:rsid w:val="00494308"/>
    <w:rPr>
      <w:rFonts w:ascii="Roboto Condensed" w:eastAsiaTheme="minorEastAsia" w:hAnsi="Roboto Condensed"/>
      <w:i/>
      <w:color w:val="5A5A5A" w:themeColor="text1" w:themeTint="A5"/>
      <w:sz w:val="18"/>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
    <w:basedOn w:val="Normaallaad"/>
    <w:link w:val="AllmrkusetekstMrk"/>
    <w:uiPriority w:val="99"/>
    <w:unhideWhenUsed/>
    <w:qFormat/>
    <w:rsid w:val="00494308"/>
    <w:rPr>
      <w:szCs w:val="20"/>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rsid w:val="00494308"/>
    <w:rPr>
      <w:rFonts w:ascii="Roboto Condensed" w:hAnsi="Roboto Condensed"/>
      <w:sz w:val="24"/>
      <w:szCs w:val="20"/>
    </w:r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o"/>
    <w:basedOn w:val="Liguvaikefont"/>
    <w:uiPriority w:val="99"/>
    <w:unhideWhenUsed/>
    <w:rsid w:val="00494308"/>
    <w:rPr>
      <w:rFonts w:ascii="Roboto Condensed" w:hAnsi="Roboto Condensed"/>
      <w:vertAlign w:val="superscript"/>
    </w:rPr>
  </w:style>
  <w:style w:type="paragraph" w:styleId="Lpumrkusetekst">
    <w:name w:val="endnote text"/>
    <w:basedOn w:val="Normaallaad"/>
    <w:link w:val="LpumrkusetekstMrk"/>
    <w:uiPriority w:val="99"/>
    <w:semiHidden/>
    <w:unhideWhenUsed/>
    <w:rsid w:val="00494308"/>
    <w:rPr>
      <w:szCs w:val="20"/>
    </w:rPr>
  </w:style>
  <w:style w:type="character" w:customStyle="1" w:styleId="LpumrkusetekstMrk">
    <w:name w:val="Lõpumärkuse tekst Märk"/>
    <w:basedOn w:val="Liguvaikefont"/>
    <w:link w:val="Lpumrkusetekst"/>
    <w:uiPriority w:val="99"/>
    <w:semiHidden/>
    <w:rsid w:val="00494308"/>
    <w:rPr>
      <w:rFonts w:ascii="Roboto Condensed" w:hAnsi="Roboto Condensed"/>
      <w:sz w:val="24"/>
      <w:szCs w:val="20"/>
    </w:rPr>
  </w:style>
  <w:style w:type="character" w:styleId="Lpumrkuseviide">
    <w:name w:val="endnote reference"/>
    <w:basedOn w:val="Liguvaikefont"/>
    <w:uiPriority w:val="99"/>
    <w:semiHidden/>
    <w:unhideWhenUsed/>
    <w:rsid w:val="00494308"/>
    <w:rPr>
      <w:vertAlign w:val="superscript"/>
    </w:rPr>
  </w:style>
  <w:style w:type="paragraph" w:styleId="SK2">
    <w:name w:val="toc 2"/>
    <w:basedOn w:val="Normaallaad"/>
    <w:next w:val="Normaallaad"/>
    <w:autoRedefine/>
    <w:uiPriority w:val="39"/>
    <w:unhideWhenUsed/>
    <w:rsid w:val="00575127"/>
    <w:pPr>
      <w:tabs>
        <w:tab w:val="left" w:pos="851"/>
        <w:tab w:val="right" w:leader="dot" w:pos="9968"/>
      </w:tabs>
      <w:spacing w:after="0"/>
      <w:ind w:left="198"/>
    </w:pPr>
    <w:rPr>
      <w:rFonts w:cstheme="minorHAnsi"/>
      <w:caps/>
      <w:szCs w:val="20"/>
    </w:rPr>
  </w:style>
  <w:style w:type="paragraph" w:styleId="SK3">
    <w:name w:val="toc 3"/>
    <w:basedOn w:val="Normaallaad"/>
    <w:next w:val="Normaallaad"/>
    <w:autoRedefine/>
    <w:uiPriority w:val="39"/>
    <w:unhideWhenUsed/>
    <w:rsid w:val="00494308"/>
    <w:pPr>
      <w:tabs>
        <w:tab w:val="left" w:pos="1418"/>
        <w:tab w:val="right" w:leader="dot" w:pos="9968"/>
      </w:tabs>
      <w:spacing w:after="0"/>
      <w:ind w:left="403"/>
    </w:pPr>
    <w:rPr>
      <w:rFonts w:cstheme="minorHAnsi"/>
      <w:iCs/>
      <w:szCs w:val="20"/>
    </w:rPr>
  </w:style>
  <w:style w:type="paragraph" w:styleId="SK4">
    <w:name w:val="toc 4"/>
    <w:basedOn w:val="Normaallaad"/>
    <w:next w:val="Normaallaad"/>
    <w:autoRedefine/>
    <w:uiPriority w:val="39"/>
    <w:unhideWhenUsed/>
    <w:rsid w:val="00494308"/>
    <w:pPr>
      <w:ind w:left="600"/>
    </w:pPr>
    <w:rPr>
      <w:rFonts w:cstheme="minorHAnsi"/>
      <w:sz w:val="18"/>
      <w:szCs w:val="18"/>
    </w:rPr>
  </w:style>
  <w:style w:type="paragraph" w:styleId="SK5">
    <w:name w:val="toc 5"/>
    <w:basedOn w:val="Normaallaad"/>
    <w:next w:val="Normaallaad"/>
    <w:autoRedefine/>
    <w:uiPriority w:val="39"/>
    <w:unhideWhenUsed/>
    <w:rsid w:val="00494308"/>
    <w:pPr>
      <w:ind w:left="800"/>
    </w:pPr>
    <w:rPr>
      <w:rFonts w:cstheme="minorHAnsi"/>
      <w:sz w:val="18"/>
      <w:szCs w:val="18"/>
    </w:rPr>
  </w:style>
  <w:style w:type="paragraph" w:styleId="SK6">
    <w:name w:val="toc 6"/>
    <w:basedOn w:val="Normaallaad"/>
    <w:next w:val="Normaallaad"/>
    <w:autoRedefine/>
    <w:uiPriority w:val="39"/>
    <w:unhideWhenUsed/>
    <w:rsid w:val="00494308"/>
    <w:pPr>
      <w:ind w:left="1000"/>
    </w:pPr>
    <w:rPr>
      <w:rFonts w:cstheme="minorHAnsi"/>
      <w:sz w:val="18"/>
      <w:szCs w:val="18"/>
    </w:rPr>
  </w:style>
  <w:style w:type="paragraph" w:styleId="SK7">
    <w:name w:val="toc 7"/>
    <w:basedOn w:val="Normaallaad"/>
    <w:next w:val="Normaallaad"/>
    <w:autoRedefine/>
    <w:uiPriority w:val="39"/>
    <w:unhideWhenUsed/>
    <w:rsid w:val="00494308"/>
    <w:pPr>
      <w:ind w:left="1200"/>
    </w:pPr>
    <w:rPr>
      <w:rFonts w:cstheme="minorHAnsi"/>
      <w:sz w:val="18"/>
      <w:szCs w:val="18"/>
    </w:rPr>
  </w:style>
  <w:style w:type="paragraph" w:styleId="SK8">
    <w:name w:val="toc 8"/>
    <w:basedOn w:val="Normaallaad"/>
    <w:next w:val="Normaallaad"/>
    <w:autoRedefine/>
    <w:uiPriority w:val="39"/>
    <w:unhideWhenUsed/>
    <w:rsid w:val="00494308"/>
    <w:pPr>
      <w:ind w:left="1400"/>
    </w:pPr>
    <w:rPr>
      <w:rFonts w:cstheme="minorHAnsi"/>
      <w:sz w:val="18"/>
      <w:szCs w:val="18"/>
    </w:rPr>
  </w:style>
  <w:style w:type="paragraph" w:styleId="SK9">
    <w:name w:val="toc 9"/>
    <w:basedOn w:val="Normaallaad"/>
    <w:next w:val="Normaallaad"/>
    <w:autoRedefine/>
    <w:uiPriority w:val="39"/>
    <w:unhideWhenUsed/>
    <w:rsid w:val="00494308"/>
    <w:pPr>
      <w:ind w:left="1600"/>
    </w:pPr>
    <w:rPr>
      <w:rFonts w:cstheme="minorHAnsi"/>
      <w:sz w:val="18"/>
      <w:szCs w:val="18"/>
    </w:rPr>
  </w:style>
  <w:style w:type="paragraph" w:styleId="Pealdis">
    <w:name w:val="caption"/>
    <w:aliases w:val="Caption Tabel"/>
    <w:basedOn w:val="Normaallaad"/>
    <w:next w:val="Normaallaad"/>
    <w:uiPriority w:val="35"/>
    <w:unhideWhenUsed/>
    <w:qFormat/>
    <w:rsid w:val="00494308"/>
    <w:pPr>
      <w:keepNext/>
      <w:keepLines/>
    </w:pPr>
    <w:rPr>
      <w:b/>
      <w:iCs/>
      <w:color w:val="006EB5"/>
      <w:sz w:val="20"/>
      <w:szCs w:val="18"/>
    </w:rPr>
  </w:style>
  <w:style w:type="paragraph" w:styleId="Illustratsiooniloend">
    <w:name w:val="table of figures"/>
    <w:basedOn w:val="Normaallaad"/>
    <w:next w:val="Normaallaad"/>
    <w:uiPriority w:val="99"/>
    <w:unhideWhenUsed/>
    <w:rsid w:val="00494308"/>
    <w:pPr>
      <w:tabs>
        <w:tab w:val="right" w:leader="dot" w:pos="9968"/>
      </w:tabs>
      <w:spacing w:after="0"/>
    </w:pPr>
  </w:style>
  <w:style w:type="paragraph" w:styleId="Loendilik">
    <w:name w:val="List Paragraph"/>
    <w:aliases w:val="Mummuga loetelu"/>
    <w:basedOn w:val="Normaallaad"/>
    <w:link w:val="LoendilikMrk"/>
    <w:uiPriority w:val="34"/>
    <w:qFormat/>
    <w:rsid w:val="00494308"/>
    <w:pPr>
      <w:ind w:left="720"/>
      <w:contextualSpacing/>
    </w:pPr>
  </w:style>
  <w:style w:type="character" w:customStyle="1" w:styleId="LoendilikMrk">
    <w:name w:val="Loendi lõik Märk"/>
    <w:aliases w:val="Mummuga loetelu Märk"/>
    <w:link w:val="Loendilik"/>
    <w:uiPriority w:val="34"/>
    <w:locked/>
    <w:rsid w:val="00494308"/>
    <w:rPr>
      <w:rFonts w:ascii="Roboto Condensed" w:hAnsi="Roboto Condensed"/>
      <w:sz w:val="24"/>
    </w:rPr>
  </w:style>
  <w:style w:type="paragraph" w:styleId="Pis">
    <w:name w:val="header"/>
    <w:basedOn w:val="Normaallaad"/>
    <w:link w:val="PisMrk"/>
    <w:uiPriority w:val="99"/>
    <w:unhideWhenUsed/>
    <w:rsid w:val="00494308"/>
    <w:pPr>
      <w:tabs>
        <w:tab w:val="center" w:pos="4536"/>
        <w:tab w:val="right" w:pos="9072"/>
      </w:tabs>
    </w:pPr>
  </w:style>
  <w:style w:type="character" w:customStyle="1" w:styleId="PisMrk">
    <w:name w:val="Päis Märk"/>
    <w:basedOn w:val="Liguvaikefont"/>
    <w:link w:val="Pis"/>
    <w:uiPriority w:val="99"/>
    <w:rsid w:val="00494308"/>
    <w:rPr>
      <w:rFonts w:ascii="Roboto Condensed" w:hAnsi="Roboto Condensed"/>
      <w:sz w:val="24"/>
    </w:rPr>
  </w:style>
  <w:style w:type="paragraph" w:styleId="Jalus">
    <w:name w:val="footer"/>
    <w:basedOn w:val="Normaallaad"/>
    <w:link w:val="JalusMrk"/>
    <w:uiPriority w:val="99"/>
    <w:unhideWhenUsed/>
    <w:rsid w:val="00494308"/>
    <w:pPr>
      <w:tabs>
        <w:tab w:val="center" w:pos="4536"/>
        <w:tab w:val="right" w:pos="9072"/>
      </w:tabs>
    </w:pPr>
    <w:rPr>
      <w:sz w:val="20"/>
    </w:rPr>
  </w:style>
  <w:style w:type="character" w:customStyle="1" w:styleId="JalusMrk">
    <w:name w:val="Jalus Märk"/>
    <w:basedOn w:val="Liguvaikefont"/>
    <w:link w:val="Jalus"/>
    <w:uiPriority w:val="99"/>
    <w:rsid w:val="00494308"/>
    <w:rPr>
      <w:rFonts w:ascii="Roboto Condensed" w:hAnsi="Roboto Condensed"/>
      <w:sz w:val="20"/>
    </w:rPr>
  </w:style>
  <w:style w:type="table" w:customStyle="1" w:styleId="GridTable1Light1">
    <w:name w:val="Grid Table 1 Light1"/>
    <w:basedOn w:val="Normaaltabel"/>
    <w:uiPriority w:val="46"/>
    <w:rsid w:val="0049430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Normaaltabel"/>
    <w:uiPriority w:val="45"/>
    <w:rsid w:val="00494308"/>
    <w:pPr>
      <w:spacing w:after="0" w:line="240" w:lineRule="auto"/>
    </w:pPr>
    <w:rPr>
      <w:rFonts w:ascii="Roboto Condensed" w:hAnsi="Roboto Condensed"/>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
    <w:name w:val="Style1"/>
    <w:basedOn w:val="Tavatabel5"/>
    <w:uiPriority w:val="99"/>
    <w:rsid w:val="00494308"/>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vatabel5">
    <w:name w:val="Plain Table 5"/>
    <w:basedOn w:val="Normaaltabel"/>
    <w:uiPriority w:val="45"/>
    <w:rsid w:val="0049430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style">
    <w:name w:val="List style"/>
    <w:basedOn w:val="Tavatabel5"/>
    <w:uiPriority w:val="99"/>
    <w:rsid w:val="00494308"/>
    <w:rPr>
      <w:rFonts w:ascii="Georgia" w:hAnsi="Georgia"/>
      <w:sz w:val="16"/>
    </w:rPr>
    <w:tblPr/>
    <w:tblStylePr w:type="firstRow">
      <w:rPr>
        <w:rFonts w:ascii="Georgia" w:eastAsiaTheme="majorEastAsia" w:hAnsi="Georgia" w:cstheme="majorBidi"/>
        <w:i w:val="0"/>
        <w:iCs/>
        <w:sz w:val="1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Kontuurtabel">
    <w:name w:val="Table Grid"/>
    <w:basedOn w:val="Normaaltabel"/>
    <w:uiPriority w:val="39"/>
    <w:rsid w:val="00494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Normaaltabel"/>
    <w:uiPriority w:val="40"/>
    <w:rsid w:val="0049430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Normaaltabel"/>
    <w:uiPriority w:val="41"/>
    <w:rsid w:val="004943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Normaaltabel"/>
    <w:uiPriority w:val="42"/>
    <w:rsid w:val="00494308"/>
    <w:pPr>
      <w:spacing w:after="0" w:line="240" w:lineRule="auto"/>
      <w:jc w:val="right"/>
    </w:pPr>
    <w:tblPr>
      <w:tblStyleRowBandSize w:val="1"/>
      <w:tblStyleColBandSize w:val="1"/>
      <w:tblBorders>
        <w:top w:val="single" w:sz="4" w:space="0" w:color="7F7F7F" w:themeColor="text1" w:themeTint="80"/>
        <w:bottom w:val="single" w:sz="4" w:space="0" w:color="7F7F7F" w:themeColor="text1" w:themeTint="80"/>
      </w:tblBorders>
    </w:tblPr>
    <w:tcPr>
      <w:shd w:val="clear" w:color="auto" w:fill="auto"/>
      <w:vAlign w:val="center"/>
    </w:tcPr>
    <w:tblStylePr w:type="firstRow">
      <w:pPr>
        <w:keepNext/>
        <w:keepLines/>
        <w:widowControl/>
        <w:wordWrap/>
        <w:jc w:val="center"/>
      </w:pPr>
      <w:rPr>
        <w:rFonts w:ascii="Roboto Condensed" w:hAnsi="Roboto Condensed"/>
        <w:b/>
        <w:bCs/>
        <w:sz w:val="22"/>
      </w:rPr>
      <w:tblPr/>
      <w:tcPr>
        <w:tcBorders>
          <w:top w:val="single" w:sz="4" w:space="0" w:color="auto"/>
          <w:left w:val="nil"/>
          <w:bottom w:val="single" w:sz="8" w:space="0" w:color="auto"/>
          <w:right w:val="nil"/>
          <w:insideH w:val="nil"/>
          <w:insideV w:val="nil"/>
          <w:tl2br w:val="nil"/>
          <w:tr2bl w:val="nil"/>
        </w:tcBorders>
      </w:tcPr>
    </w:tblStylePr>
    <w:tblStylePr w:type="lastRow">
      <w:rPr>
        <w:rFonts w:ascii="Roboto Condensed" w:hAnsi="Roboto Condensed"/>
        <w:b/>
        <w:bCs/>
        <w:sz w:val="22"/>
      </w:rPr>
      <w:tblPr/>
      <w:tcPr>
        <w:tcBorders>
          <w:top w:val="single" w:sz="8" w:space="0" w:color="auto"/>
        </w:tcBorders>
      </w:tcPr>
    </w:tblStylePr>
    <w:tblStylePr w:type="firstCol">
      <w:pPr>
        <w:jc w:val="left"/>
      </w:pPr>
      <w:rPr>
        <w:rFonts w:ascii="Roboto Condensed" w:hAnsi="Roboto Condensed"/>
        <w:b/>
        <w:bCs/>
        <w:sz w:val="22"/>
      </w:rPr>
      <w:tblPr/>
      <w:tcPr>
        <w:tcBorders>
          <w:right w:val="single" w:sz="8" w:space="0" w:color="auto"/>
        </w:tcBorders>
      </w:tcPr>
    </w:tblStylePr>
    <w:tblStylePr w:type="lastCol">
      <w:pPr>
        <w:wordWrap/>
        <w:spacing w:afterLines="240" w:after="240" w:afterAutospacing="0"/>
      </w:pPr>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shd w:val="clear" w:color="auto" w:fill="E7E6E6" w:themeFill="background2"/>
      </w:tcPr>
    </w:tblStylePr>
  </w:style>
  <w:style w:type="paragraph" w:customStyle="1" w:styleId="Phitekst">
    <w:name w:val="Põhitekst"/>
    <w:basedOn w:val="Normaallaad"/>
    <w:link w:val="PhitekstChar"/>
    <w:qFormat/>
    <w:rsid w:val="006A5CB8"/>
    <w:pPr>
      <w:jc w:val="both"/>
    </w:pPr>
  </w:style>
  <w:style w:type="character" w:customStyle="1" w:styleId="PhitekstChar">
    <w:name w:val="Põhitekst Char"/>
    <w:basedOn w:val="Liguvaikefont"/>
    <w:link w:val="Phitekst"/>
    <w:rsid w:val="006A5CB8"/>
    <w:rPr>
      <w:rFonts w:ascii="Roboto Condensed" w:hAnsi="Roboto Condensed"/>
    </w:rPr>
  </w:style>
  <w:style w:type="paragraph" w:customStyle="1" w:styleId="Alapunkt">
    <w:name w:val="Alapunkt"/>
    <w:basedOn w:val="Normaallaad"/>
    <w:qFormat/>
    <w:rsid w:val="00494308"/>
    <w:rPr>
      <w:i/>
    </w:rPr>
  </w:style>
  <w:style w:type="paragraph" w:customStyle="1" w:styleId="Alapealkiri1">
    <w:name w:val="Alapealkiri1"/>
    <w:basedOn w:val="Normaallaad"/>
    <w:qFormat/>
    <w:rsid w:val="00494308"/>
    <w:pPr>
      <w:spacing w:after="200"/>
      <w:outlineLvl w:val="1"/>
    </w:pPr>
    <w:rPr>
      <w:rFonts w:eastAsiaTheme="majorEastAsia" w:cstheme="majorBidi"/>
      <w:b/>
      <w:color w:val="006EB5"/>
      <w:szCs w:val="24"/>
    </w:rPr>
  </w:style>
  <w:style w:type="paragraph" w:customStyle="1" w:styleId="Kast">
    <w:name w:val="Kast"/>
    <w:basedOn w:val="Phitekst"/>
    <w:link w:val="KastChar"/>
    <w:qFormat/>
    <w:rsid w:val="00494308"/>
    <w:pPr>
      <w:pBdr>
        <w:top w:val="single" w:sz="4" w:space="8" w:color="000000" w:themeColor="text1"/>
        <w:left w:val="single" w:sz="4" w:space="8" w:color="000000" w:themeColor="text1"/>
        <w:bottom w:val="single" w:sz="4" w:space="8" w:color="000000" w:themeColor="text1"/>
        <w:right w:val="single" w:sz="4" w:space="8" w:color="000000" w:themeColor="text1"/>
      </w:pBdr>
      <w:shd w:val="clear" w:color="auto" w:fill="F2F2F2" w:themeFill="background1" w:themeFillShade="F2"/>
      <w:ind w:left="160" w:right="160"/>
      <w:mirrorIndents/>
    </w:pPr>
  </w:style>
  <w:style w:type="character" w:customStyle="1" w:styleId="KastChar">
    <w:name w:val="Kast Char"/>
    <w:basedOn w:val="PhitekstChar"/>
    <w:link w:val="Kast"/>
    <w:rsid w:val="00494308"/>
    <w:rPr>
      <w:rFonts w:ascii="Roboto Condensed" w:hAnsi="Roboto Condensed"/>
      <w:sz w:val="24"/>
      <w:shd w:val="clear" w:color="auto" w:fill="F2F2F2" w:themeFill="background1" w:themeFillShade="F2"/>
    </w:rPr>
  </w:style>
  <w:style w:type="paragraph" w:customStyle="1" w:styleId="Tiitellehtpealkiri">
    <w:name w:val="Tiitelleht pealkiri"/>
    <w:basedOn w:val="Normaallaad"/>
    <w:link w:val="TiitellehtpealkiriChar"/>
    <w:qFormat/>
    <w:rsid w:val="00494308"/>
    <w:pPr>
      <w:keepNext/>
      <w:keepLines/>
      <w:numPr>
        <w:numId w:val="2"/>
      </w:numPr>
      <w:suppressAutoHyphens/>
      <w:spacing w:before="800" w:after="40"/>
      <w:ind w:left="357" w:hanging="357"/>
      <w:jc w:val="center"/>
      <w:outlineLvl w:val="0"/>
    </w:pPr>
    <w:rPr>
      <w:b/>
      <w:color w:val="006EB5"/>
      <w:sz w:val="40"/>
    </w:rPr>
  </w:style>
  <w:style w:type="character" w:customStyle="1" w:styleId="TiitellehtpealkiriChar">
    <w:name w:val="Tiitelleht pealkiri Char"/>
    <w:basedOn w:val="Liguvaikefont"/>
    <w:link w:val="Tiitellehtpealkiri"/>
    <w:rsid w:val="00494308"/>
    <w:rPr>
      <w:b/>
      <w:color w:val="006EB5"/>
      <w:sz w:val="40"/>
    </w:rPr>
  </w:style>
  <w:style w:type="paragraph" w:customStyle="1" w:styleId="Tiitellehtkuupev">
    <w:name w:val="Tiitelleht kuupäev"/>
    <w:basedOn w:val="Phitekst"/>
    <w:link w:val="TiitellehtkuupevChar"/>
    <w:qFormat/>
    <w:rsid w:val="00494308"/>
    <w:pPr>
      <w:jc w:val="center"/>
    </w:pPr>
    <w:rPr>
      <w:sz w:val="28"/>
    </w:rPr>
  </w:style>
  <w:style w:type="character" w:customStyle="1" w:styleId="TiitellehtkuupevChar">
    <w:name w:val="Tiitelleht kuupäev Char"/>
    <w:basedOn w:val="PhitekstChar"/>
    <w:link w:val="Tiitellehtkuupev"/>
    <w:rsid w:val="00494308"/>
    <w:rPr>
      <w:rFonts w:ascii="Roboto Condensed" w:hAnsi="Roboto Condensed"/>
      <w:sz w:val="28"/>
    </w:rPr>
  </w:style>
  <w:style w:type="paragraph" w:customStyle="1" w:styleId="Tabelid">
    <w:name w:val="Tabelid"/>
    <w:basedOn w:val="Normaallaad"/>
    <w:link w:val="TabelidChar"/>
    <w:qFormat/>
    <w:rsid w:val="00494308"/>
    <w:pPr>
      <w:spacing w:after="0"/>
    </w:pPr>
    <w:rPr>
      <w:rFonts w:cs="Segoe UI Light"/>
      <w:sz w:val="20"/>
      <w:szCs w:val="18"/>
      <w:lang w:eastAsia="et-EE"/>
    </w:rPr>
  </w:style>
  <w:style w:type="character" w:customStyle="1" w:styleId="TabelidChar">
    <w:name w:val="Tabelid Char"/>
    <w:basedOn w:val="Liguvaikefont"/>
    <w:link w:val="Tabelid"/>
    <w:rsid w:val="00494308"/>
    <w:rPr>
      <w:rFonts w:ascii="Roboto Condensed" w:hAnsi="Roboto Condensed" w:cs="Segoe UI Light"/>
      <w:sz w:val="20"/>
      <w:szCs w:val="18"/>
      <w:lang w:eastAsia="et-EE"/>
    </w:rPr>
  </w:style>
  <w:style w:type="paragraph" w:customStyle="1" w:styleId="Rhutus1">
    <w:name w:val="Rõhutus1"/>
    <w:basedOn w:val="Phitekst"/>
    <w:link w:val="RhutusChar"/>
    <w:qFormat/>
    <w:rsid w:val="006C4CD7"/>
    <w:pPr>
      <w:spacing w:after="0"/>
    </w:pPr>
    <w:rPr>
      <w:b/>
    </w:rPr>
  </w:style>
  <w:style w:type="character" w:customStyle="1" w:styleId="RhutusChar">
    <w:name w:val="Rõhutus Char"/>
    <w:basedOn w:val="PhitekstChar"/>
    <w:link w:val="Rhutus1"/>
    <w:rsid w:val="006C4CD7"/>
    <w:rPr>
      <w:rFonts w:ascii="Roboto Condensed" w:hAnsi="Roboto Condensed"/>
      <w:b/>
      <w:sz w:val="24"/>
    </w:rPr>
  </w:style>
  <w:style w:type="paragraph" w:customStyle="1" w:styleId="Joonised">
    <w:name w:val="Joonised"/>
    <w:basedOn w:val="Phitekst"/>
    <w:link w:val="JoonisedChar"/>
    <w:rsid w:val="00494308"/>
    <w:rPr>
      <w:noProof/>
      <w:sz w:val="20"/>
      <w:lang w:eastAsia="et-EE"/>
    </w:rPr>
  </w:style>
  <w:style w:type="character" w:customStyle="1" w:styleId="JoonisedChar">
    <w:name w:val="Joonised Char"/>
    <w:basedOn w:val="PhitekstChar"/>
    <w:link w:val="Joonised"/>
    <w:rsid w:val="00494308"/>
    <w:rPr>
      <w:rFonts w:ascii="Roboto Condensed" w:hAnsi="Roboto Condensed"/>
      <w:noProof/>
      <w:sz w:val="20"/>
      <w:lang w:eastAsia="et-EE"/>
    </w:rPr>
  </w:style>
  <w:style w:type="paragraph" w:customStyle="1" w:styleId="Kastisisenepealkiri">
    <w:name w:val="Kastisisene pealkiri"/>
    <w:basedOn w:val="Kast"/>
    <w:link w:val="KastisisenepealkiriChar"/>
    <w:qFormat/>
    <w:rsid w:val="00494308"/>
    <w:rPr>
      <w:b/>
    </w:rPr>
  </w:style>
  <w:style w:type="character" w:customStyle="1" w:styleId="KastisisenepealkiriChar">
    <w:name w:val="Kastisisene pealkiri Char"/>
    <w:basedOn w:val="KastChar"/>
    <w:link w:val="Kastisisenepealkiri"/>
    <w:rsid w:val="00494308"/>
    <w:rPr>
      <w:rFonts w:ascii="Roboto Condensed" w:hAnsi="Roboto Condensed"/>
      <w:b/>
      <w:sz w:val="24"/>
      <w:shd w:val="clear" w:color="auto" w:fill="F2F2F2" w:themeFill="background1" w:themeFillShade="F2"/>
    </w:rPr>
  </w:style>
  <w:style w:type="paragraph" w:customStyle="1" w:styleId="Loetelupunktidega">
    <w:name w:val="Loetelu punktidega"/>
    <w:basedOn w:val="Phitekst"/>
    <w:link w:val="LoetelupunktidegaChar"/>
    <w:qFormat/>
    <w:rsid w:val="00494308"/>
    <w:pPr>
      <w:numPr>
        <w:numId w:val="1"/>
      </w:numPr>
      <w:spacing w:after="60"/>
      <w:contextualSpacing/>
    </w:pPr>
  </w:style>
  <w:style w:type="character" w:customStyle="1" w:styleId="LoetelupunktidegaChar">
    <w:name w:val="Loetelu punktidega Char"/>
    <w:basedOn w:val="PhitekstChar"/>
    <w:link w:val="Loetelupunktidega"/>
    <w:rsid w:val="00494308"/>
    <w:rPr>
      <w:rFonts w:ascii="Roboto Condensed" w:hAnsi="Roboto Condensed"/>
    </w:rPr>
  </w:style>
  <w:style w:type="paragraph" w:customStyle="1" w:styleId="Loetelu2tase">
    <w:name w:val="Loetelu 2. tase"/>
    <w:basedOn w:val="Loetelupunktidega"/>
    <w:link w:val="Loetelu2taseChar"/>
    <w:qFormat/>
    <w:rsid w:val="00494308"/>
    <w:pPr>
      <w:numPr>
        <w:ilvl w:val="1"/>
      </w:numPr>
    </w:pPr>
  </w:style>
  <w:style w:type="character" w:customStyle="1" w:styleId="Loetelu2taseChar">
    <w:name w:val="Loetelu 2. tase Char"/>
    <w:basedOn w:val="LoetelupunktidegaChar"/>
    <w:link w:val="Loetelu2tase"/>
    <w:rsid w:val="00494308"/>
    <w:rPr>
      <w:rFonts w:ascii="Roboto Condensed" w:hAnsi="Roboto Condensed"/>
    </w:rPr>
  </w:style>
  <w:style w:type="paragraph" w:customStyle="1" w:styleId="Mrkus">
    <w:name w:val="Märkus"/>
    <w:basedOn w:val="Alapealkiri"/>
    <w:link w:val="MrkusChar"/>
    <w:qFormat/>
    <w:rsid w:val="00494308"/>
  </w:style>
  <w:style w:type="character" w:customStyle="1" w:styleId="MrkusChar">
    <w:name w:val="Märkus Char"/>
    <w:basedOn w:val="AlapealkiriMrk"/>
    <w:link w:val="Mrkus"/>
    <w:rsid w:val="00494308"/>
    <w:rPr>
      <w:rFonts w:ascii="Roboto Condensed" w:eastAsiaTheme="minorEastAsia" w:hAnsi="Roboto Condensed"/>
      <w:i/>
      <w:color w:val="5A5A5A" w:themeColor="text1" w:themeTint="A5"/>
      <w:sz w:val="18"/>
    </w:rPr>
  </w:style>
  <w:style w:type="character" w:customStyle="1" w:styleId="longtext">
    <w:name w:val="long_text"/>
    <w:basedOn w:val="Liguvaikefont"/>
    <w:uiPriority w:val="99"/>
    <w:rsid w:val="00494308"/>
    <w:rPr>
      <w:rFonts w:cs="Times New Roman"/>
    </w:rPr>
  </w:style>
  <w:style w:type="table" w:customStyle="1" w:styleId="GridTable3-Accent21">
    <w:name w:val="Grid Table 3 - Accent 21"/>
    <w:basedOn w:val="Normaaltabel"/>
    <w:uiPriority w:val="48"/>
    <w:rsid w:val="00494308"/>
    <w:pPr>
      <w:spacing w:after="0" w:line="240" w:lineRule="auto"/>
    </w:pPr>
    <w:tblPr>
      <w:tblStyleRowBandSize w:val="1"/>
      <w:tblStyleColBandSize w:val="1"/>
      <w:tblBorders>
        <w:top w:val="single" w:sz="4" w:space="0" w:color="FFE566" w:themeColor="accent2" w:themeTint="99"/>
        <w:left w:val="single" w:sz="4" w:space="0" w:color="FFE566" w:themeColor="accent2" w:themeTint="99"/>
        <w:bottom w:val="single" w:sz="4" w:space="0" w:color="FFE566" w:themeColor="accent2" w:themeTint="99"/>
        <w:right w:val="single" w:sz="4" w:space="0" w:color="FFE566" w:themeColor="accent2" w:themeTint="99"/>
        <w:insideH w:val="single" w:sz="4" w:space="0" w:color="FFE566" w:themeColor="accent2" w:themeTint="99"/>
        <w:insideV w:val="single" w:sz="4" w:space="0" w:color="FFE5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6CC" w:themeFill="accent2" w:themeFillTint="33"/>
      </w:tcPr>
    </w:tblStylePr>
    <w:tblStylePr w:type="band1Horz">
      <w:tblPr/>
      <w:tcPr>
        <w:shd w:val="clear" w:color="auto" w:fill="FFF6CC" w:themeFill="accent2" w:themeFillTint="33"/>
      </w:tcPr>
    </w:tblStylePr>
    <w:tblStylePr w:type="neCell">
      <w:tblPr/>
      <w:tcPr>
        <w:tcBorders>
          <w:bottom w:val="single" w:sz="4" w:space="0" w:color="FFE566" w:themeColor="accent2" w:themeTint="99"/>
        </w:tcBorders>
      </w:tcPr>
    </w:tblStylePr>
    <w:tblStylePr w:type="nwCell">
      <w:tblPr/>
      <w:tcPr>
        <w:tcBorders>
          <w:bottom w:val="single" w:sz="4" w:space="0" w:color="FFE566" w:themeColor="accent2" w:themeTint="99"/>
        </w:tcBorders>
      </w:tcPr>
    </w:tblStylePr>
    <w:tblStylePr w:type="seCell">
      <w:tblPr/>
      <w:tcPr>
        <w:tcBorders>
          <w:top w:val="single" w:sz="4" w:space="0" w:color="FFE566" w:themeColor="accent2" w:themeTint="99"/>
        </w:tcBorders>
      </w:tcPr>
    </w:tblStylePr>
    <w:tblStylePr w:type="swCell">
      <w:tblPr/>
      <w:tcPr>
        <w:tcBorders>
          <w:top w:val="single" w:sz="4" w:space="0" w:color="FFE566" w:themeColor="accent2" w:themeTint="99"/>
        </w:tcBorders>
      </w:tcPr>
    </w:tblStylePr>
  </w:style>
  <w:style w:type="table" w:customStyle="1" w:styleId="GridTable4-Accent21">
    <w:name w:val="Grid Table 4 - Accent 21"/>
    <w:basedOn w:val="Normaaltabel"/>
    <w:uiPriority w:val="49"/>
    <w:rsid w:val="00494308"/>
    <w:pPr>
      <w:spacing w:after="0" w:line="240" w:lineRule="auto"/>
    </w:pPr>
    <w:tblPr>
      <w:tblStyleRowBandSize w:val="1"/>
      <w:tblStyleColBandSize w:val="1"/>
      <w:tblBorders>
        <w:top w:val="single" w:sz="4" w:space="0" w:color="FFE566" w:themeColor="accent2" w:themeTint="99"/>
        <w:left w:val="single" w:sz="4" w:space="0" w:color="FFE566" w:themeColor="accent2" w:themeTint="99"/>
        <w:bottom w:val="single" w:sz="4" w:space="0" w:color="FFE566" w:themeColor="accent2" w:themeTint="99"/>
        <w:right w:val="single" w:sz="4" w:space="0" w:color="FFE566" w:themeColor="accent2" w:themeTint="99"/>
        <w:insideH w:val="single" w:sz="4" w:space="0" w:color="FFE566" w:themeColor="accent2" w:themeTint="99"/>
        <w:insideV w:val="single" w:sz="4" w:space="0" w:color="FFE566" w:themeColor="accent2" w:themeTint="99"/>
      </w:tblBorders>
    </w:tblPr>
    <w:tblStylePr w:type="firstRow">
      <w:rPr>
        <w:b/>
        <w:bCs/>
        <w:color w:val="FFFFFF" w:themeColor="background1"/>
      </w:rPr>
      <w:tblPr/>
      <w:tcPr>
        <w:tcBorders>
          <w:top w:val="single" w:sz="4" w:space="0" w:color="FFD500" w:themeColor="accent2"/>
          <w:left w:val="single" w:sz="4" w:space="0" w:color="FFD500" w:themeColor="accent2"/>
          <w:bottom w:val="single" w:sz="4" w:space="0" w:color="FFD500" w:themeColor="accent2"/>
          <w:right w:val="single" w:sz="4" w:space="0" w:color="FFD500" w:themeColor="accent2"/>
          <w:insideH w:val="nil"/>
          <w:insideV w:val="nil"/>
        </w:tcBorders>
        <w:shd w:val="clear" w:color="auto" w:fill="FFD500" w:themeFill="accent2"/>
      </w:tcPr>
    </w:tblStylePr>
    <w:tblStylePr w:type="lastRow">
      <w:rPr>
        <w:b/>
        <w:bCs/>
      </w:rPr>
      <w:tblPr/>
      <w:tcPr>
        <w:tcBorders>
          <w:top w:val="double" w:sz="4" w:space="0" w:color="FFD500" w:themeColor="accent2"/>
        </w:tcBorders>
      </w:tcPr>
    </w:tblStylePr>
    <w:tblStylePr w:type="firstCol">
      <w:rPr>
        <w:b/>
        <w:bCs/>
      </w:rPr>
    </w:tblStylePr>
    <w:tblStylePr w:type="lastCol">
      <w:rPr>
        <w:b/>
        <w:bCs/>
      </w:rPr>
    </w:tblStylePr>
    <w:tblStylePr w:type="band1Vert">
      <w:tblPr/>
      <w:tcPr>
        <w:shd w:val="clear" w:color="auto" w:fill="FFF6CC" w:themeFill="accent2" w:themeFillTint="33"/>
      </w:tcPr>
    </w:tblStylePr>
    <w:tblStylePr w:type="band1Horz">
      <w:tblPr/>
      <w:tcPr>
        <w:shd w:val="clear" w:color="auto" w:fill="FFF6CC" w:themeFill="accent2" w:themeFillTint="33"/>
      </w:tcPr>
    </w:tblStylePr>
  </w:style>
  <w:style w:type="table" w:customStyle="1" w:styleId="GridTable2-Accent21">
    <w:name w:val="Grid Table 2 - Accent 21"/>
    <w:basedOn w:val="Normaaltabel"/>
    <w:uiPriority w:val="47"/>
    <w:rsid w:val="00494308"/>
    <w:pPr>
      <w:spacing w:after="0" w:line="240" w:lineRule="auto"/>
    </w:pPr>
    <w:tblPr>
      <w:tblStyleRowBandSize w:val="1"/>
      <w:tblStyleColBandSize w:val="1"/>
      <w:tblBorders>
        <w:top w:val="single" w:sz="2" w:space="0" w:color="FFE566" w:themeColor="accent2" w:themeTint="99"/>
        <w:bottom w:val="single" w:sz="2" w:space="0" w:color="FFE566" w:themeColor="accent2" w:themeTint="99"/>
        <w:insideH w:val="single" w:sz="2" w:space="0" w:color="FFE566" w:themeColor="accent2" w:themeTint="99"/>
        <w:insideV w:val="single" w:sz="2" w:space="0" w:color="FFE566" w:themeColor="accent2" w:themeTint="99"/>
      </w:tblBorders>
    </w:tblPr>
    <w:tblStylePr w:type="firstRow">
      <w:rPr>
        <w:b/>
        <w:bCs/>
      </w:rPr>
      <w:tblPr/>
      <w:tcPr>
        <w:tcBorders>
          <w:top w:val="nil"/>
          <w:bottom w:val="single" w:sz="12" w:space="0" w:color="FFE566" w:themeColor="accent2" w:themeTint="99"/>
          <w:insideH w:val="nil"/>
          <w:insideV w:val="nil"/>
        </w:tcBorders>
        <w:shd w:val="clear" w:color="auto" w:fill="FFFFFF" w:themeFill="background1"/>
      </w:tcPr>
    </w:tblStylePr>
    <w:tblStylePr w:type="lastRow">
      <w:rPr>
        <w:b/>
        <w:bCs/>
      </w:rPr>
      <w:tblPr/>
      <w:tcPr>
        <w:tcBorders>
          <w:top w:val="double" w:sz="2" w:space="0" w:color="FFE5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6CC" w:themeFill="accent2" w:themeFillTint="33"/>
      </w:tcPr>
    </w:tblStylePr>
    <w:tblStylePr w:type="band1Horz">
      <w:tblPr/>
      <w:tcPr>
        <w:shd w:val="clear" w:color="auto" w:fill="FFF6CC" w:themeFill="accent2" w:themeFillTint="33"/>
      </w:tcPr>
    </w:tblStylePr>
  </w:style>
  <w:style w:type="paragraph" w:customStyle="1" w:styleId="Tabelitekst">
    <w:name w:val="Tabeli tekst"/>
    <w:basedOn w:val="Normaallaad"/>
    <w:rsid w:val="00494308"/>
    <w:pPr>
      <w:suppressAutoHyphens/>
      <w:spacing w:after="0"/>
    </w:pPr>
    <w:rPr>
      <w:rFonts w:eastAsia="Times New Roman" w:cs="Times New Roman"/>
      <w:sz w:val="20"/>
      <w:szCs w:val="20"/>
      <w:lang w:eastAsia="ar-SA"/>
    </w:rPr>
  </w:style>
  <w:style w:type="paragraph" w:customStyle="1" w:styleId="Default">
    <w:name w:val="Default"/>
    <w:rsid w:val="00494308"/>
    <w:pPr>
      <w:autoSpaceDE w:val="0"/>
      <w:autoSpaceDN w:val="0"/>
      <w:adjustRightInd w:val="0"/>
      <w:spacing w:after="0" w:line="240" w:lineRule="auto"/>
    </w:pPr>
    <w:rPr>
      <w:rFonts w:ascii="Roboto Condensed" w:eastAsia="Calibri" w:hAnsi="Roboto Condensed" w:cs="Garamond"/>
      <w:color w:val="000000"/>
      <w:sz w:val="24"/>
      <w:szCs w:val="24"/>
    </w:rPr>
  </w:style>
  <w:style w:type="table" w:customStyle="1" w:styleId="ListTable1Light-Accent21">
    <w:name w:val="List Table 1 Light - Accent 21"/>
    <w:basedOn w:val="Normaaltabel"/>
    <w:uiPriority w:val="46"/>
    <w:rsid w:val="00494308"/>
    <w:pPr>
      <w:spacing w:after="0" w:line="240" w:lineRule="auto"/>
    </w:pPr>
    <w:tblPr>
      <w:tblStyleRowBandSize w:val="1"/>
      <w:tblStyleColBandSize w:val="1"/>
    </w:tblPr>
    <w:tblStylePr w:type="firstRow">
      <w:rPr>
        <w:b/>
        <w:bCs/>
      </w:rPr>
      <w:tblPr/>
      <w:tcPr>
        <w:tcBorders>
          <w:bottom w:val="single" w:sz="4" w:space="0" w:color="FFE566" w:themeColor="accent2" w:themeTint="99"/>
        </w:tcBorders>
      </w:tcPr>
    </w:tblStylePr>
    <w:tblStylePr w:type="lastRow">
      <w:rPr>
        <w:b/>
        <w:bCs/>
      </w:rPr>
      <w:tblPr/>
      <w:tcPr>
        <w:tcBorders>
          <w:top w:val="single" w:sz="4" w:space="0" w:color="FFE566" w:themeColor="accent2" w:themeTint="99"/>
        </w:tcBorders>
      </w:tcPr>
    </w:tblStylePr>
    <w:tblStylePr w:type="firstCol">
      <w:rPr>
        <w:b/>
        <w:bCs/>
      </w:rPr>
    </w:tblStylePr>
    <w:tblStylePr w:type="lastCol">
      <w:rPr>
        <w:b/>
        <w:bCs/>
      </w:rPr>
    </w:tblStylePr>
    <w:tblStylePr w:type="band1Vert">
      <w:tblPr/>
      <w:tcPr>
        <w:shd w:val="clear" w:color="auto" w:fill="FFF6CC" w:themeFill="accent2" w:themeFillTint="33"/>
      </w:tcPr>
    </w:tblStylePr>
    <w:tblStylePr w:type="band1Horz">
      <w:tblPr/>
      <w:tcPr>
        <w:shd w:val="clear" w:color="auto" w:fill="FFF6CC" w:themeFill="accent2" w:themeFillTint="33"/>
      </w:tcPr>
    </w:tblStylePr>
  </w:style>
  <w:style w:type="table" w:customStyle="1" w:styleId="ListTable2-Accent21">
    <w:name w:val="List Table 2 - Accent 21"/>
    <w:basedOn w:val="Normaaltabel"/>
    <w:uiPriority w:val="47"/>
    <w:rsid w:val="00494308"/>
    <w:pPr>
      <w:spacing w:after="0" w:line="240" w:lineRule="auto"/>
    </w:pPr>
    <w:tblPr>
      <w:tblStyleRowBandSize w:val="1"/>
      <w:tblStyleColBandSize w:val="1"/>
      <w:tblBorders>
        <w:top w:val="single" w:sz="4" w:space="0" w:color="FFE566" w:themeColor="accent2" w:themeTint="99"/>
        <w:bottom w:val="single" w:sz="4" w:space="0" w:color="FFE566" w:themeColor="accent2" w:themeTint="99"/>
        <w:insideH w:val="single" w:sz="4" w:space="0" w:color="FFE5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6CC" w:themeFill="accent2" w:themeFillTint="33"/>
      </w:tcPr>
    </w:tblStylePr>
    <w:tblStylePr w:type="band1Horz">
      <w:tblPr/>
      <w:tcPr>
        <w:shd w:val="clear" w:color="auto" w:fill="FFF6CC" w:themeFill="accent2" w:themeFillTint="33"/>
      </w:tcPr>
    </w:tblStylePr>
  </w:style>
  <w:style w:type="paragraph" w:styleId="Kommentaaritekst">
    <w:name w:val="annotation text"/>
    <w:basedOn w:val="Normaallaad"/>
    <w:link w:val="KommentaaritekstMrk"/>
    <w:uiPriority w:val="99"/>
    <w:semiHidden/>
    <w:unhideWhenUsed/>
    <w:rsid w:val="00494308"/>
    <w:rPr>
      <w:szCs w:val="20"/>
    </w:rPr>
  </w:style>
  <w:style w:type="character" w:customStyle="1" w:styleId="KommentaaritekstMrk">
    <w:name w:val="Kommentaari tekst Märk"/>
    <w:basedOn w:val="Liguvaikefont"/>
    <w:link w:val="Kommentaaritekst"/>
    <w:uiPriority w:val="99"/>
    <w:semiHidden/>
    <w:rsid w:val="00494308"/>
    <w:rPr>
      <w:rFonts w:ascii="Roboto Condensed" w:hAnsi="Roboto Condensed"/>
      <w:sz w:val="24"/>
      <w:szCs w:val="20"/>
    </w:rPr>
  </w:style>
  <w:style w:type="paragraph" w:styleId="Kommentaariteema">
    <w:name w:val="annotation subject"/>
    <w:basedOn w:val="Kommentaaritekst"/>
    <w:next w:val="Kommentaaritekst"/>
    <w:link w:val="KommentaariteemaMrk"/>
    <w:uiPriority w:val="99"/>
    <w:semiHidden/>
    <w:rsid w:val="00494308"/>
    <w:pPr>
      <w:spacing w:after="0"/>
    </w:pPr>
    <w:rPr>
      <w:rFonts w:ascii="Times New Roman" w:eastAsia="Times New Roman" w:hAnsi="Times New Roman" w:cs="Times New Roman"/>
      <w:b/>
      <w:bCs/>
    </w:rPr>
  </w:style>
  <w:style w:type="character" w:customStyle="1" w:styleId="KommentaariteemaMrk">
    <w:name w:val="Kommentaari teema Märk"/>
    <w:basedOn w:val="KommentaaritekstMrk"/>
    <w:link w:val="Kommentaariteema"/>
    <w:uiPriority w:val="99"/>
    <w:semiHidden/>
    <w:rsid w:val="00494308"/>
    <w:rPr>
      <w:rFonts w:ascii="Times New Roman" w:eastAsia="Times New Roman" w:hAnsi="Times New Roman" w:cs="Times New Roman"/>
      <w:b/>
      <w:bCs/>
      <w:sz w:val="24"/>
      <w:szCs w:val="20"/>
    </w:rPr>
  </w:style>
  <w:style w:type="character" w:styleId="Tugev">
    <w:name w:val="Strong"/>
    <w:basedOn w:val="Liguvaikefont"/>
    <w:uiPriority w:val="22"/>
    <w:qFormat/>
    <w:rsid w:val="00494308"/>
    <w:rPr>
      <w:rFonts w:cs="Times New Roman"/>
      <w:b/>
      <w:bCs/>
    </w:rPr>
  </w:style>
  <w:style w:type="character" w:styleId="Kommentaariviide">
    <w:name w:val="annotation reference"/>
    <w:basedOn w:val="Liguvaikefont"/>
    <w:uiPriority w:val="99"/>
    <w:semiHidden/>
    <w:unhideWhenUsed/>
    <w:rsid w:val="00494308"/>
    <w:rPr>
      <w:sz w:val="16"/>
      <w:szCs w:val="16"/>
    </w:rPr>
  </w:style>
  <w:style w:type="paragraph" w:styleId="Redaktsioon">
    <w:name w:val="Revision"/>
    <w:hidden/>
    <w:uiPriority w:val="99"/>
    <w:semiHidden/>
    <w:rsid w:val="00494308"/>
    <w:pPr>
      <w:spacing w:after="0" w:line="240" w:lineRule="auto"/>
    </w:pPr>
    <w:rPr>
      <w:rFonts w:ascii="Georgia" w:hAnsi="Georgia"/>
      <w:sz w:val="20"/>
    </w:rPr>
  </w:style>
  <w:style w:type="table" w:customStyle="1" w:styleId="ListTable1Light-Accent211">
    <w:name w:val="List Table 1 Light - Accent 211"/>
    <w:basedOn w:val="Normaaltabel"/>
    <w:uiPriority w:val="46"/>
    <w:rsid w:val="00494308"/>
    <w:pPr>
      <w:spacing w:after="0" w:line="240" w:lineRule="auto"/>
    </w:pPr>
    <w:tblPr>
      <w:tblStyleRowBandSize w:val="1"/>
      <w:tblStyleColBandSize w:val="1"/>
    </w:tblPr>
    <w:tblStylePr w:type="firstRow">
      <w:rPr>
        <w:b/>
        <w:bCs/>
      </w:rPr>
      <w:tblPr/>
      <w:tcPr>
        <w:tcBorders>
          <w:bottom w:val="single" w:sz="4" w:space="0" w:color="FFE566" w:themeColor="accent2" w:themeTint="99"/>
        </w:tcBorders>
      </w:tcPr>
    </w:tblStylePr>
    <w:tblStylePr w:type="lastRow">
      <w:rPr>
        <w:b/>
        <w:bCs/>
      </w:rPr>
      <w:tblPr/>
      <w:tcPr>
        <w:tcBorders>
          <w:top w:val="single" w:sz="4" w:space="0" w:color="FFE566" w:themeColor="accent2" w:themeTint="99"/>
        </w:tcBorders>
      </w:tcPr>
    </w:tblStylePr>
    <w:tblStylePr w:type="firstCol">
      <w:rPr>
        <w:b/>
        <w:bCs/>
      </w:rPr>
    </w:tblStylePr>
    <w:tblStylePr w:type="lastCol">
      <w:rPr>
        <w:b/>
        <w:bCs/>
      </w:rPr>
    </w:tblStylePr>
    <w:tblStylePr w:type="band1Vert">
      <w:tblPr/>
      <w:tcPr>
        <w:shd w:val="clear" w:color="auto" w:fill="FFF6CC" w:themeFill="accent2" w:themeFillTint="33"/>
      </w:tcPr>
    </w:tblStylePr>
    <w:tblStylePr w:type="band1Horz">
      <w:tblPr/>
      <w:tcPr>
        <w:shd w:val="clear" w:color="auto" w:fill="FFF6CC" w:themeFill="accent2" w:themeFillTint="33"/>
      </w:tcPr>
    </w:tblStylePr>
  </w:style>
  <w:style w:type="paragraph" w:styleId="Normaallaadveeb">
    <w:name w:val="Normal (Web)"/>
    <w:basedOn w:val="Normaallaad"/>
    <w:uiPriority w:val="99"/>
    <w:rsid w:val="00494308"/>
    <w:pPr>
      <w:spacing w:before="100" w:beforeAutospacing="1" w:after="100" w:afterAutospacing="1"/>
    </w:pPr>
    <w:rPr>
      <w:rFonts w:eastAsia="Arial Unicode MS" w:cs="Arial Unicode MS"/>
      <w:color w:val="000000"/>
      <w:szCs w:val="24"/>
      <w:lang w:val="en-GB"/>
    </w:rPr>
  </w:style>
  <w:style w:type="table" w:customStyle="1" w:styleId="LightGrid-Accent12">
    <w:name w:val="Light Grid - Accent 12"/>
    <w:basedOn w:val="Normaaltabel"/>
    <w:uiPriority w:val="62"/>
    <w:rsid w:val="00494308"/>
    <w:pPr>
      <w:spacing w:after="0" w:line="240" w:lineRule="auto"/>
    </w:pPr>
    <w:rPr>
      <w:rFonts w:ascii="Times New Roman" w:eastAsia="Times New Roman" w:hAnsi="Times New Roman" w:cs="Times New Roman"/>
      <w:sz w:val="20"/>
      <w:szCs w:val="20"/>
      <w:lang w:eastAsia="et-EE"/>
    </w:rPr>
    <w:tblPr>
      <w:tblStyleRowBandSize w:val="1"/>
      <w:tblStyleColBandSize w:val="1"/>
      <w:tblBorders>
        <w:top w:val="single" w:sz="8" w:space="0" w:color="005BBB" w:themeColor="accent1"/>
        <w:left w:val="single" w:sz="8" w:space="0" w:color="005BBB" w:themeColor="accent1"/>
        <w:bottom w:val="single" w:sz="8" w:space="0" w:color="005BBB" w:themeColor="accent1"/>
        <w:right w:val="single" w:sz="8" w:space="0" w:color="005BBB" w:themeColor="accent1"/>
        <w:insideH w:val="single" w:sz="8" w:space="0" w:color="005BBB" w:themeColor="accent1"/>
        <w:insideV w:val="single" w:sz="8" w:space="0" w:color="005BB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BBB" w:themeColor="accent1"/>
          <w:left w:val="single" w:sz="8" w:space="0" w:color="005BBB" w:themeColor="accent1"/>
          <w:bottom w:val="single" w:sz="18" w:space="0" w:color="005BBB" w:themeColor="accent1"/>
          <w:right w:val="single" w:sz="8" w:space="0" w:color="005BBB" w:themeColor="accent1"/>
          <w:insideH w:val="nil"/>
          <w:insideV w:val="single" w:sz="8" w:space="0" w:color="005BB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BBB" w:themeColor="accent1"/>
          <w:left w:val="single" w:sz="8" w:space="0" w:color="005BBB" w:themeColor="accent1"/>
          <w:bottom w:val="single" w:sz="8" w:space="0" w:color="005BBB" w:themeColor="accent1"/>
          <w:right w:val="single" w:sz="8" w:space="0" w:color="005BBB" w:themeColor="accent1"/>
          <w:insideH w:val="nil"/>
          <w:insideV w:val="single" w:sz="8" w:space="0" w:color="005BB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BBB" w:themeColor="accent1"/>
          <w:left w:val="single" w:sz="8" w:space="0" w:color="005BBB" w:themeColor="accent1"/>
          <w:bottom w:val="single" w:sz="8" w:space="0" w:color="005BBB" w:themeColor="accent1"/>
          <w:right w:val="single" w:sz="8" w:space="0" w:color="005BBB" w:themeColor="accent1"/>
        </w:tcBorders>
      </w:tcPr>
    </w:tblStylePr>
    <w:tblStylePr w:type="band1Vert">
      <w:tblPr/>
      <w:tcPr>
        <w:tcBorders>
          <w:top w:val="single" w:sz="8" w:space="0" w:color="005BBB" w:themeColor="accent1"/>
          <w:left w:val="single" w:sz="8" w:space="0" w:color="005BBB" w:themeColor="accent1"/>
          <w:bottom w:val="single" w:sz="8" w:space="0" w:color="005BBB" w:themeColor="accent1"/>
          <w:right w:val="single" w:sz="8" w:space="0" w:color="005BBB" w:themeColor="accent1"/>
        </w:tcBorders>
        <w:shd w:val="clear" w:color="auto" w:fill="AFD5FF" w:themeFill="accent1" w:themeFillTint="3F"/>
      </w:tcPr>
    </w:tblStylePr>
    <w:tblStylePr w:type="band1Horz">
      <w:tblPr/>
      <w:tcPr>
        <w:tcBorders>
          <w:top w:val="single" w:sz="8" w:space="0" w:color="005BBB" w:themeColor="accent1"/>
          <w:left w:val="single" w:sz="8" w:space="0" w:color="005BBB" w:themeColor="accent1"/>
          <w:bottom w:val="single" w:sz="8" w:space="0" w:color="005BBB" w:themeColor="accent1"/>
          <w:right w:val="single" w:sz="8" w:space="0" w:color="005BBB" w:themeColor="accent1"/>
          <w:insideV w:val="single" w:sz="8" w:space="0" w:color="005BBB" w:themeColor="accent1"/>
        </w:tcBorders>
        <w:shd w:val="clear" w:color="auto" w:fill="AFD5FF" w:themeFill="accent1" w:themeFillTint="3F"/>
      </w:tcPr>
    </w:tblStylePr>
    <w:tblStylePr w:type="band2Horz">
      <w:tblPr/>
      <w:tcPr>
        <w:tcBorders>
          <w:top w:val="single" w:sz="8" w:space="0" w:color="005BBB" w:themeColor="accent1"/>
          <w:left w:val="single" w:sz="8" w:space="0" w:color="005BBB" w:themeColor="accent1"/>
          <w:bottom w:val="single" w:sz="8" w:space="0" w:color="005BBB" w:themeColor="accent1"/>
          <w:right w:val="single" w:sz="8" w:space="0" w:color="005BBB" w:themeColor="accent1"/>
          <w:insideV w:val="single" w:sz="8" w:space="0" w:color="005BBB" w:themeColor="accent1"/>
        </w:tcBorders>
      </w:tcPr>
    </w:tblStylePr>
  </w:style>
  <w:style w:type="paragraph" w:styleId="Sisukorrapealkiri">
    <w:name w:val="TOC Heading"/>
    <w:basedOn w:val="Pealkiri1"/>
    <w:next w:val="Normaallaad"/>
    <w:uiPriority w:val="39"/>
    <w:unhideWhenUsed/>
    <w:qFormat/>
    <w:rsid w:val="00494308"/>
    <w:pPr>
      <w:numPr>
        <w:numId w:val="0"/>
      </w:numPr>
      <w:spacing w:after="0"/>
      <w:outlineLvl w:val="9"/>
    </w:pPr>
    <w:rPr>
      <w:color w:val="00448C" w:themeColor="accent1" w:themeShade="BF"/>
      <w:lang w:val="en-US"/>
    </w:rPr>
  </w:style>
  <w:style w:type="character" w:styleId="Klastatudhperlink">
    <w:name w:val="FollowedHyperlink"/>
    <w:basedOn w:val="Liguvaikefont"/>
    <w:uiPriority w:val="99"/>
    <w:semiHidden/>
    <w:unhideWhenUsed/>
    <w:rsid w:val="00494308"/>
    <w:rPr>
      <w:color w:val="954F72" w:themeColor="followedHyperlink"/>
      <w:u w:val="single"/>
    </w:rPr>
  </w:style>
  <w:style w:type="character" w:customStyle="1" w:styleId="UnresolvedMention1">
    <w:name w:val="Unresolved Mention1"/>
    <w:basedOn w:val="Liguvaikefont"/>
    <w:uiPriority w:val="99"/>
    <w:semiHidden/>
    <w:unhideWhenUsed/>
    <w:rsid w:val="00494308"/>
    <w:rPr>
      <w:color w:val="605E5C"/>
      <w:shd w:val="clear" w:color="auto" w:fill="E1DFDD"/>
    </w:rPr>
  </w:style>
  <w:style w:type="character" w:customStyle="1" w:styleId="Lahendamatamainimine1">
    <w:name w:val="Lahendamata mainimine1"/>
    <w:basedOn w:val="Liguvaikefont"/>
    <w:uiPriority w:val="99"/>
    <w:semiHidden/>
    <w:unhideWhenUsed/>
    <w:rsid w:val="00494308"/>
    <w:rPr>
      <w:color w:val="605E5C"/>
      <w:shd w:val="clear" w:color="auto" w:fill="E1DFDD"/>
    </w:rPr>
  </w:style>
  <w:style w:type="table" w:styleId="Heleruuttabel1">
    <w:name w:val="Grid Table 1 Light"/>
    <w:basedOn w:val="Normaaltabel"/>
    <w:uiPriority w:val="46"/>
    <w:rsid w:val="0049430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Helekontuurtabel">
    <w:name w:val="Grid Table Light"/>
    <w:basedOn w:val="Normaaltabel"/>
    <w:uiPriority w:val="40"/>
    <w:rsid w:val="0049430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vatabel1">
    <w:name w:val="Plain Table 1"/>
    <w:basedOn w:val="Normaaltabel"/>
    <w:uiPriority w:val="41"/>
    <w:rsid w:val="004943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vatabel2">
    <w:name w:val="Plain Table 2"/>
    <w:basedOn w:val="Normaaltabel"/>
    <w:uiPriority w:val="42"/>
    <w:rsid w:val="004943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vatabel3">
    <w:name w:val="Plain Table 3"/>
    <w:basedOn w:val="Normaaltabel"/>
    <w:uiPriority w:val="43"/>
    <w:rsid w:val="0049430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aad1">
    <w:name w:val="Laad1"/>
    <w:basedOn w:val="Normaaltabel"/>
    <w:uiPriority w:val="99"/>
    <w:rsid w:val="00494308"/>
    <w:pPr>
      <w:spacing w:after="0" w:line="240" w:lineRule="auto"/>
    </w:pPr>
    <w:tblPr>
      <w:tblStyleRowBandSize w:val="1"/>
    </w:tblPr>
    <w:tblStylePr w:type="band1Horz">
      <w:tblPr/>
      <w:tcPr>
        <w:shd w:val="clear" w:color="auto" w:fill="D9D9D6"/>
      </w:tcPr>
    </w:tblStylePr>
  </w:style>
  <w:style w:type="table" w:customStyle="1" w:styleId="Laad2">
    <w:name w:val="Laad2"/>
    <w:basedOn w:val="Normaaltabel"/>
    <w:uiPriority w:val="99"/>
    <w:rsid w:val="00494308"/>
    <w:pPr>
      <w:spacing w:after="0" w:line="240" w:lineRule="auto"/>
    </w:pPr>
    <w:tblPr>
      <w:tblStyleRowBandSize w:val="1"/>
    </w:tblPr>
    <w:tblStylePr w:type="band1Horz">
      <w:tblPr/>
      <w:tcPr>
        <w:shd w:val="clear" w:color="auto" w:fill="B9D9EB"/>
      </w:tcPr>
    </w:tblStylePr>
  </w:style>
  <w:style w:type="table" w:styleId="Peentabel1">
    <w:name w:val="Table Subtle 1"/>
    <w:basedOn w:val="Normaaltabel"/>
    <w:uiPriority w:val="99"/>
    <w:rsid w:val="00494308"/>
    <w:pPr>
      <w:spacing w:after="120" w:line="240" w:lineRule="auto"/>
      <w:jc w:val="both"/>
    </w:pPr>
    <w:rPr>
      <w:rFonts w:ascii="Roboto Condensed" w:hAnsi="Roboto Condensed"/>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aad3">
    <w:name w:val="Laad3"/>
    <w:basedOn w:val="Normaaltabel"/>
    <w:uiPriority w:val="99"/>
    <w:rsid w:val="00494308"/>
    <w:pPr>
      <w:spacing w:after="0" w:line="240" w:lineRule="auto"/>
    </w:pPr>
    <w:tblPr>
      <w:tblStyleRowBandSize w:val="1"/>
    </w:tblPr>
    <w:tblStylePr w:type="band2Horz">
      <w:tblPr/>
      <w:tcPr>
        <w:shd w:val="clear" w:color="auto" w:fill="D9D9D6"/>
      </w:tcPr>
    </w:tblStylePr>
  </w:style>
  <w:style w:type="table" w:customStyle="1" w:styleId="Laad4">
    <w:name w:val="Laad4"/>
    <w:basedOn w:val="Normaaltabel"/>
    <w:uiPriority w:val="99"/>
    <w:rsid w:val="00494308"/>
    <w:pPr>
      <w:spacing w:after="0" w:line="240" w:lineRule="auto"/>
    </w:pPr>
    <w:tblPr>
      <w:tblStyleRowBandSize w:val="1"/>
    </w:tblPr>
    <w:tblStylePr w:type="band1Horz">
      <w:tblPr/>
      <w:tcPr>
        <w:shd w:val="clear" w:color="auto" w:fill="E7E6E6" w:themeFill="background2"/>
      </w:tcPr>
    </w:tblStylePr>
  </w:style>
  <w:style w:type="paragraph" w:customStyle="1" w:styleId="Numbritapealkiri">
    <w:name w:val="Numbrita pealkiri"/>
    <w:basedOn w:val="Pealkiri1"/>
    <w:rsid w:val="00494308"/>
    <w:pPr>
      <w:numPr>
        <w:numId w:val="0"/>
      </w:numPr>
    </w:pPr>
  </w:style>
  <w:style w:type="table" w:customStyle="1" w:styleId="PlainTable211">
    <w:name w:val="Plain Table 211"/>
    <w:basedOn w:val="Normaaltabel"/>
    <w:uiPriority w:val="42"/>
    <w:rsid w:val="00494308"/>
    <w:pPr>
      <w:spacing w:after="0" w:line="240" w:lineRule="auto"/>
      <w:jc w:val="right"/>
    </w:pPr>
    <w:tblPr>
      <w:tblStyleRowBandSize w:val="1"/>
      <w:tblStyleColBandSize w:val="1"/>
      <w:tblBorders>
        <w:top w:val="single" w:sz="4" w:space="0" w:color="7F7F7F" w:themeColor="text1" w:themeTint="80"/>
        <w:bottom w:val="single" w:sz="4" w:space="0" w:color="7F7F7F" w:themeColor="text1" w:themeTint="80"/>
      </w:tblBorders>
    </w:tblPr>
    <w:tcPr>
      <w:shd w:val="clear" w:color="auto" w:fill="auto"/>
      <w:vAlign w:val="center"/>
    </w:tcPr>
    <w:tblStylePr w:type="firstRow">
      <w:pPr>
        <w:keepNext/>
        <w:keepLines/>
        <w:widowControl/>
        <w:wordWrap/>
        <w:jc w:val="center"/>
      </w:pPr>
      <w:rPr>
        <w:rFonts w:ascii="Roboto Condensed" w:hAnsi="Roboto Condensed"/>
        <w:b/>
        <w:bCs/>
        <w:sz w:val="22"/>
      </w:rPr>
      <w:tblPr/>
      <w:tcPr>
        <w:tcBorders>
          <w:top w:val="single" w:sz="4" w:space="0" w:color="auto"/>
          <w:left w:val="nil"/>
          <w:bottom w:val="single" w:sz="8" w:space="0" w:color="auto"/>
          <w:right w:val="nil"/>
          <w:insideH w:val="nil"/>
          <w:insideV w:val="nil"/>
          <w:tl2br w:val="nil"/>
          <w:tr2bl w:val="nil"/>
        </w:tcBorders>
      </w:tcPr>
    </w:tblStylePr>
    <w:tblStylePr w:type="lastRow">
      <w:rPr>
        <w:rFonts w:ascii="Roboto Condensed" w:hAnsi="Roboto Condensed"/>
        <w:b/>
        <w:bCs/>
        <w:sz w:val="22"/>
      </w:rPr>
      <w:tblPr/>
      <w:tcPr>
        <w:tcBorders>
          <w:top w:val="single" w:sz="8" w:space="0" w:color="auto"/>
        </w:tcBorders>
      </w:tcPr>
    </w:tblStylePr>
    <w:tblStylePr w:type="firstCol">
      <w:pPr>
        <w:jc w:val="left"/>
      </w:pPr>
      <w:rPr>
        <w:rFonts w:ascii="Roboto Condensed" w:hAnsi="Roboto Condensed"/>
        <w:b/>
        <w:bCs/>
        <w:sz w:val="22"/>
      </w:rPr>
      <w:tblPr/>
      <w:tcPr>
        <w:tcBorders>
          <w:right w:val="single" w:sz="8" w:space="0" w:color="auto"/>
        </w:tcBorders>
      </w:tcPr>
    </w:tblStylePr>
    <w:tblStylePr w:type="lastCol">
      <w:pPr>
        <w:wordWrap/>
        <w:spacing w:afterLines="240" w:after="240" w:afterAutospacing="0"/>
      </w:pPr>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shd w:val="clear" w:color="auto" w:fill="E7E6E6" w:themeFill="background2"/>
      </w:tcPr>
    </w:tblStylePr>
  </w:style>
  <w:style w:type="paragraph" w:customStyle="1" w:styleId="Pealkiri41">
    <w:name w:val="Pealkiri 41"/>
    <w:aliases w:val="tekstisisene"/>
    <w:next w:val="Phitekst"/>
    <w:rsid w:val="00494308"/>
    <w:pPr>
      <w:spacing w:after="120" w:line="240" w:lineRule="auto"/>
    </w:pPr>
    <w:rPr>
      <w:rFonts w:ascii="Segoe UI" w:eastAsiaTheme="majorEastAsia" w:hAnsi="Segoe UI" w:cstheme="majorBidi"/>
      <w:b/>
      <w:i/>
      <w:iCs/>
      <w:sz w:val="20"/>
    </w:rPr>
  </w:style>
  <w:style w:type="table" w:customStyle="1" w:styleId="Peentabel11">
    <w:name w:val="Peen tabel 11"/>
    <w:basedOn w:val="Normaaltabel"/>
    <w:next w:val="Peentabel1"/>
    <w:uiPriority w:val="99"/>
    <w:rsid w:val="00904451"/>
    <w:pPr>
      <w:spacing w:after="120" w:line="240" w:lineRule="auto"/>
      <w:jc w:val="both"/>
    </w:pPr>
    <w:rPr>
      <w:rFonts w:ascii="Roboto Condensed" w:hAnsi="Roboto Condensed"/>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eentabel12">
    <w:name w:val="Peen tabel 12"/>
    <w:basedOn w:val="Normaaltabel"/>
    <w:next w:val="Peentabel1"/>
    <w:uiPriority w:val="99"/>
    <w:rsid w:val="00904451"/>
    <w:pPr>
      <w:spacing w:after="120" w:line="240" w:lineRule="auto"/>
      <w:jc w:val="both"/>
    </w:pPr>
    <w:rPr>
      <w:rFonts w:ascii="Roboto Condensed" w:hAnsi="Roboto Condensed"/>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perlink1">
    <w:name w:val="Hüperlink1"/>
    <w:basedOn w:val="Liguvaikefont"/>
    <w:uiPriority w:val="99"/>
    <w:unhideWhenUsed/>
    <w:rsid w:val="009C1060"/>
    <w:rPr>
      <w:color w:val="0563C1"/>
      <w:u w:val="single"/>
    </w:rPr>
  </w:style>
  <w:style w:type="character" w:customStyle="1" w:styleId="Lahendamatamainimine2">
    <w:name w:val="Lahendamata mainimine2"/>
    <w:basedOn w:val="Liguvaikefont"/>
    <w:uiPriority w:val="99"/>
    <w:semiHidden/>
    <w:unhideWhenUsed/>
    <w:rsid w:val="00D00C4B"/>
    <w:rPr>
      <w:color w:val="605E5C"/>
      <w:shd w:val="clear" w:color="auto" w:fill="E1DFDD"/>
    </w:rPr>
  </w:style>
  <w:style w:type="character" w:customStyle="1" w:styleId="Lahendamatamainimine3">
    <w:name w:val="Lahendamata mainimine3"/>
    <w:basedOn w:val="Liguvaikefont"/>
    <w:uiPriority w:val="99"/>
    <w:semiHidden/>
    <w:unhideWhenUsed/>
    <w:rsid w:val="00853475"/>
    <w:rPr>
      <w:color w:val="605E5C"/>
      <w:shd w:val="clear" w:color="auto" w:fill="E1DFDD"/>
    </w:rPr>
  </w:style>
  <w:style w:type="character" w:customStyle="1" w:styleId="Lahendamatamainimine4">
    <w:name w:val="Lahendamata mainimine4"/>
    <w:basedOn w:val="Liguvaikefont"/>
    <w:uiPriority w:val="99"/>
    <w:semiHidden/>
    <w:unhideWhenUsed/>
    <w:rsid w:val="006C4B58"/>
    <w:rPr>
      <w:color w:val="605E5C"/>
      <w:shd w:val="clear" w:color="auto" w:fill="E1DFDD"/>
    </w:rPr>
  </w:style>
  <w:style w:type="paragraph" w:customStyle="1" w:styleId="Joonise-tabelipealkiri">
    <w:name w:val="Joonise-tabeli pealkiri"/>
    <w:basedOn w:val="Normaallaad"/>
    <w:uiPriority w:val="99"/>
    <w:rsid w:val="00397526"/>
    <w:pPr>
      <w:keepNext/>
      <w:spacing w:after="0" w:line="240" w:lineRule="auto"/>
      <w:ind w:left="113" w:right="113"/>
      <w:jc w:val="both"/>
    </w:pPr>
    <w:rPr>
      <w:rFonts w:ascii="Garamond" w:eastAsia="Times New Roman" w:hAnsi="Garamond" w:cs="Times New Roman"/>
      <w:b/>
      <w:color w:val="000080"/>
      <w:sz w:val="24"/>
      <w:szCs w:val="20"/>
    </w:rPr>
  </w:style>
  <w:style w:type="paragraph" w:customStyle="1" w:styleId="hik-allikas">
    <w:name w:val="Ühik-allikas"/>
    <w:basedOn w:val="Kehatekst"/>
    <w:uiPriority w:val="99"/>
    <w:rsid w:val="00397526"/>
    <w:pPr>
      <w:spacing w:after="0" w:line="240" w:lineRule="auto"/>
      <w:ind w:left="113"/>
      <w:jc w:val="both"/>
    </w:pPr>
    <w:rPr>
      <w:rFonts w:ascii="Garamond" w:eastAsia="Times New Roman" w:hAnsi="Garamond" w:cs="Times New Roman"/>
      <w:i/>
      <w:sz w:val="20"/>
      <w:szCs w:val="20"/>
    </w:rPr>
  </w:style>
  <w:style w:type="paragraph" w:styleId="Kehatekst">
    <w:name w:val="Body Text"/>
    <w:basedOn w:val="Normaallaad"/>
    <w:link w:val="KehatekstMrk"/>
    <w:semiHidden/>
    <w:unhideWhenUsed/>
    <w:rsid w:val="00397526"/>
    <w:pPr>
      <w:spacing w:after="120"/>
    </w:pPr>
  </w:style>
  <w:style w:type="character" w:customStyle="1" w:styleId="KehatekstMrk">
    <w:name w:val="Kehatekst Märk"/>
    <w:basedOn w:val="Liguvaikefont"/>
    <w:link w:val="Kehatekst"/>
    <w:semiHidden/>
    <w:rsid w:val="00397526"/>
  </w:style>
  <w:style w:type="character" w:customStyle="1" w:styleId="Lahendamatamainimine5">
    <w:name w:val="Lahendamata mainimine5"/>
    <w:basedOn w:val="Liguvaikefont"/>
    <w:uiPriority w:val="99"/>
    <w:semiHidden/>
    <w:unhideWhenUsed/>
    <w:rsid w:val="008C01F1"/>
    <w:rPr>
      <w:color w:val="605E5C"/>
      <w:shd w:val="clear" w:color="auto" w:fill="E1DFDD"/>
    </w:rPr>
  </w:style>
  <w:style w:type="character" w:customStyle="1" w:styleId="Lahendamatamainimine6">
    <w:name w:val="Lahendamata mainimine6"/>
    <w:basedOn w:val="Liguvaikefont"/>
    <w:uiPriority w:val="99"/>
    <w:semiHidden/>
    <w:unhideWhenUsed/>
    <w:rsid w:val="00963513"/>
    <w:rPr>
      <w:color w:val="605E5C"/>
      <w:shd w:val="clear" w:color="auto" w:fill="E1DFDD"/>
    </w:rPr>
  </w:style>
  <w:style w:type="character" w:customStyle="1" w:styleId="Lahendamatamainimine7">
    <w:name w:val="Lahendamata mainimine7"/>
    <w:basedOn w:val="Liguvaikefont"/>
    <w:uiPriority w:val="99"/>
    <w:semiHidden/>
    <w:unhideWhenUsed/>
    <w:rsid w:val="002F3E04"/>
    <w:rPr>
      <w:color w:val="605E5C"/>
      <w:shd w:val="clear" w:color="auto" w:fill="E1DFDD"/>
    </w:rPr>
  </w:style>
  <w:style w:type="character" w:styleId="Lahendamatamainimine">
    <w:name w:val="Unresolved Mention"/>
    <w:basedOn w:val="Liguvaikefont"/>
    <w:uiPriority w:val="99"/>
    <w:semiHidden/>
    <w:unhideWhenUsed/>
    <w:rsid w:val="00D36CE3"/>
    <w:rPr>
      <w:color w:val="605E5C"/>
      <w:shd w:val="clear" w:color="auto" w:fill="E1DFDD"/>
    </w:rPr>
  </w:style>
  <w:style w:type="paragraph" w:styleId="Register1">
    <w:name w:val="index 1"/>
    <w:basedOn w:val="Normaallaad"/>
    <w:next w:val="Normaallaad"/>
    <w:autoRedefine/>
    <w:uiPriority w:val="99"/>
    <w:semiHidden/>
    <w:unhideWhenUsed/>
    <w:rsid w:val="003C0EBC"/>
    <w:pPr>
      <w:spacing w:after="0" w:line="240" w:lineRule="auto"/>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3564">
      <w:bodyDiv w:val="1"/>
      <w:marLeft w:val="0"/>
      <w:marRight w:val="0"/>
      <w:marTop w:val="0"/>
      <w:marBottom w:val="0"/>
      <w:divBdr>
        <w:top w:val="none" w:sz="0" w:space="0" w:color="auto"/>
        <w:left w:val="none" w:sz="0" w:space="0" w:color="auto"/>
        <w:bottom w:val="none" w:sz="0" w:space="0" w:color="auto"/>
        <w:right w:val="none" w:sz="0" w:space="0" w:color="auto"/>
      </w:divBdr>
    </w:div>
    <w:div w:id="16197203">
      <w:bodyDiv w:val="1"/>
      <w:marLeft w:val="0"/>
      <w:marRight w:val="0"/>
      <w:marTop w:val="0"/>
      <w:marBottom w:val="0"/>
      <w:divBdr>
        <w:top w:val="none" w:sz="0" w:space="0" w:color="auto"/>
        <w:left w:val="none" w:sz="0" w:space="0" w:color="auto"/>
        <w:bottom w:val="none" w:sz="0" w:space="0" w:color="auto"/>
        <w:right w:val="none" w:sz="0" w:space="0" w:color="auto"/>
      </w:divBdr>
    </w:div>
    <w:div w:id="16473464">
      <w:bodyDiv w:val="1"/>
      <w:marLeft w:val="0"/>
      <w:marRight w:val="0"/>
      <w:marTop w:val="0"/>
      <w:marBottom w:val="0"/>
      <w:divBdr>
        <w:top w:val="none" w:sz="0" w:space="0" w:color="auto"/>
        <w:left w:val="none" w:sz="0" w:space="0" w:color="auto"/>
        <w:bottom w:val="none" w:sz="0" w:space="0" w:color="auto"/>
        <w:right w:val="none" w:sz="0" w:space="0" w:color="auto"/>
      </w:divBdr>
    </w:div>
    <w:div w:id="17826660">
      <w:bodyDiv w:val="1"/>
      <w:marLeft w:val="0"/>
      <w:marRight w:val="0"/>
      <w:marTop w:val="0"/>
      <w:marBottom w:val="0"/>
      <w:divBdr>
        <w:top w:val="none" w:sz="0" w:space="0" w:color="auto"/>
        <w:left w:val="none" w:sz="0" w:space="0" w:color="auto"/>
        <w:bottom w:val="none" w:sz="0" w:space="0" w:color="auto"/>
        <w:right w:val="none" w:sz="0" w:space="0" w:color="auto"/>
      </w:divBdr>
    </w:div>
    <w:div w:id="21395710">
      <w:bodyDiv w:val="1"/>
      <w:marLeft w:val="0"/>
      <w:marRight w:val="0"/>
      <w:marTop w:val="0"/>
      <w:marBottom w:val="0"/>
      <w:divBdr>
        <w:top w:val="none" w:sz="0" w:space="0" w:color="auto"/>
        <w:left w:val="none" w:sz="0" w:space="0" w:color="auto"/>
        <w:bottom w:val="none" w:sz="0" w:space="0" w:color="auto"/>
        <w:right w:val="none" w:sz="0" w:space="0" w:color="auto"/>
      </w:divBdr>
    </w:div>
    <w:div w:id="23795289">
      <w:bodyDiv w:val="1"/>
      <w:marLeft w:val="0"/>
      <w:marRight w:val="0"/>
      <w:marTop w:val="0"/>
      <w:marBottom w:val="0"/>
      <w:divBdr>
        <w:top w:val="none" w:sz="0" w:space="0" w:color="auto"/>
        <w:left w:val="none" w:sz="0" w:space="0" w:color="auto"/>
        <w:bottom w:val="none" w:sz="0" w:space="0" w:color="auto"/>
        <w:right w:val="none" w:sz="0" w:space="0" w:color="auto"/>
      </w:divBdr>
    </w:div>
    <w:div w:id="23869062">
      <w:bodyDiv w:val="1"/>
      <w:marLeft w:val="0"/>
      <w:marRight w:val="0"/>
      <w:marTop w:val="0"/>
      <w:marBottom w:val="0"/>
      <w:divBdr>
        <w:top w:val="none" w:sz="0" w:space="0" w:color="auto"/>
        <w:left w:val="none" w:sz="0" w:space="0" w:color="auto"/>
        <w:bottom w:val="none" w:sz="0" w:space="0" w:color="auto"/>
        <w:right w:val="none" w:sz="0" w:space="0" w:color="auto"/>
      </w:divBdr>
    </w:div>
    <w:div w:id="30112384">
      <w:bodyDiv w:val="1"/>
      <w:marLeft w:val="0"/>
      <w:marRight w:val="0"/>
      <w:marTop w:val="0"/>
      <w:marBottom w:val="0"/>
      <w:divBdr>
        <w:top w:val="none" w:sz="0" w:space="0" w:color="auto"/>
        <w:left w:val="none" w:sz="0" w:space="0" w:color="auto"/>
        <w:bottom w:val="none" w:sz="0" w:space="0" w:color="auto"/>
        <w:right w:val="none" w:sz="0" w:space="0" w:color="auto"/>
      </w:divBdr>
    </w:div>
    <w:div w:id="38676117">
      <w:bodyDiv w:val="1"/>
      <w:marLeft w:val="0"/>
      <w:marRight w:val="0"/>
      <w:marTop w:val="0"/>
      <w:marBottom w:val="0"/>
      <w:divBdr>
        <w:top w:val="none" w:sz="0" w:space="0" w:color="auto"/>
        <w:left w:val="none" w:sz="0" w:space="0" w:color="auto"/>
        <w:bottom w:val="none" w:sz="0" w:space="0" w:color="auto"/>
        <w:right w:val="none" w:sz="0" w:space="0" w:color="auto"/>
      </w:divBdr>
    </w:div>
    <w:div w:id="42755544">
      <w:bodyDiv w:val="1"/>
      <w:marLeft w:val="0"/>
      <w:marRight w:val="0"/>
      <w:marTop w:val="0"/>
      <w:marBottom w:val="0"/>
      <w:divBdr>
        <w:top w:val="none" w:sz="0" w:space="0" w:color="auto"/>
        <w:left w:val="none" w:sz="0" w:space="0" w:color="auto"/>
        <w:bottom w:val="none" w:sz="0" w:space="0" w:color="auto"/>
        <w:right w:val="none" w:sz="0" w:space="0" w:color="auto"/>
      </w:divBdr>
    </w:div>
    <w:div w:id="43650339">
      <w:bodyDiv w:val="1"/>
      <w:marLeft w:val="0"/>
      <w:marRight w:val="0"/>
      <w:marTop w:val="0"/>
      <w:marBottom w:val="0"/>
      <w:divBdr>
        <w:top w:val="none" w:sz="0" w:space="0" w:color="auto"/>
        <w:left w:val="none" w:sz="0" w:space="0" w:color="auto"/>
        <w:bottom w:val="none" w:sz="0" w:space="0" w:color="auto"/>
        <w:right w:val="none" w:sz="0" w:space="0" w:color="auto"/>
      </w:divBdr>
    </w:div>
    <w:div w:id="48261350">
      <w:bodyDiv w:val="1"/>
      <w:marLeft w:val="0"/>
      <w:marRight w:val="0"/>
      <w:marTop w:val="0"/>
      <w:marBottom w:val="0"/>
      <w:divBdr>
        <w:top w:val="none" w:sz="0" w:space="0" w:color="auto"/>
        <w:left w:val="none" w:sz="0" w:space="0" w:color="auto"/>
        <w:bottom w:val="none" w:sz="0" w:space="0" w:color="auto"/>
        <w:right w:val="none" w:sz="0" w:space="0" w:color="auto"/>
      </w:divBdr>
    </w:div>
    <w:div w:id="49233338">
      <w:bodyDiv w:val="1"/>
      <w:marLeft w:val="0"/>
      <w:marRight w:val="0"/>
      <w:marTop w:val="0"/>
      <w:marBottom w:val="0"/>
      <w:divBdr>
        <w:top w:val="none" w:sz="0" w:space="0" w:color="auto"/>
        <w:left w:val="none" w:sz="0" w:space="0" w:color="auto"/>
        <w:bottom w:val="none" w:sz="0" w:space="0" w:color="auto"/>
        <w:right w:val="none" w:sz="0" w:space="0" w:color="auto"/>
      </w:divBdr>
    </w:div>
    <w:div w:id="49234391">
      <w:bodyDiv w:val="1"/>
      <w:marLeft w:val="0"/>
      <w:marRight w:val="0"/>
      <w:marTop w:val="0"/>
      <w:marBottom w:val="0"/>
      <w:divBdr>
        <w:top w:val="none" w:sz="0" w:space="0" w:color="auto"/>
        <w:left w:val="none" w:sz="0" w:space="0" w:color="auto"/>
        <w:bottom w:val="none" w:sz="0" w:space="0" w:color="auto"/>
        <w:right w:val="none" w:sz="0" w:space="0" w:color="auto"/>
      </w:divBdr>
    </w:div>
    <w:div w:id="59256549">
      <w:bodyDiv w:val="1"/>
      <w:marLeft w:val="0"/>
      <w:marRight w:val="0"/>
      <w:marTop w:val="0"/>
      <w:marBottom w:val="0"/>
      <w:divBdr>
        <w:top w:val="none" w:sz="0" w:space="0" w:color="auto"/>
        <w:left w:val="none" w:sz="0" w:space="0" w:color="auto"/>
        <w:bottom w:val="none" w:sz="0" w:space="0" w:color="auto"/>
        <w:right w:val="none" w:sz="0" w:space="0" w:color="auto"/>
      </w:divBdr>
    </w:div>
    <w:div w:id="59405464">
      <w:bodyDiv w:val="1"/>
      <w:marLeft w:val="0"/>
      <w:marRight w:val="0"/>
      <w:marTop w:val="0"/>
      <w:marBottom w:val="0"/>
      <w:divBdr>
        <w:top w:val="none" w:sz="0" w:space="0" w:color="auto"/>
        <w:left w:val="none" w:sz="0" w:space="0" w:color="auto"/>
        <w:bottom w:val="none" w:sz="0" w:space="0" w:color="auto"/>
        <w:right w:val="none" w:sz="0" w:space="0" w:color="auto"/>
      </w:divBdr>
    </w:div>
    <w:div w:id="59595756">
      <w:bodyDiv w:val="1"/>
      <w:marLeft w:val="0"/>
      <w:marRight w:val="0"/>
      <w:marTop w:val="0"/>
      <w:marBottom w:val="0"/>
      <w:divBdr>
        <w:top w:val="none" w:sz="0" w:space="0" w:color="auto"/>
        <w:left w:val="none" w:sz="0" w:space="0" w:color="auto"/>
        <w:bottom w:val="none" w:sz="0" w:space="0" w:color="auto"/>
        <w:right w:val="none" w:sz="0" w:space="0" w:color="auto"/>
      </w:divBdr>
    </w:div>
    <w:div w:id="61758567">
      <w:bodyDiv w:val="1"/>
      <w:marLeft w:val="0"/>
      <w:marRight w:val="0"/>
      <w:marTop w:val="0"/>
      <w:marBottom w:val="0"/>
      <w:divBdr>
        <w:top w:val="none" w:sz="0" w:space="0" w:color="auto"/>
        <w:left w:val="none" w:sz="0" w:space="0" w:color="auto"/>
        <w:bottom w:val="none" w:sz="0" w:space="0" w:color="auto"/>
        <w:right w:val="none" w:sz="0" w:space="0" w:color="auto"/>
      </w:divBdr>
    </w:div>
    <w:div w:id="65346039">
      <w:bodyDiv w:val="1"/>
      <w:marLeft w:val="0"/>
      <w:marRight w:val="0"/>
      <w:marTop w:val="0"/>
      <w:marBottom w:val="0"/>
      <w:divBdr>
        <w:top w:val="none" w:sz="0" w:space="0" w:color="auto"/>
        <w:left w:val="none" w:sz="0" w:space="0" w:color="auto"/>
        <w:bottom w:val="none" w:sz="0" w:space="0" w:color="auto"/>
        <w:right w:val="none" w:sz="0" w:space="0" w:color="auto"/>
      </w:divBdr>
    </w:div>
    <w:div w:id="68503552">
      <w:bodyDiv w:val="1"/>
      <w:marLeft w:val="0"/>
      <w:marRight w:val="0"/>
      <w:marTop w:val="0"/>
      <w:marBottom w:val="0"/>
      <w:divBdr>
        <w:top w:val="none" w:sz="0" w:space="0" w:color="auto"/>
        <w:left w:val="none" w:sz="0" w:space="0" w:color="auto"/>
        <w:bottom w:val="none" w:sz="0" w:space="0" w:color="auto"/>
        <w:right w:val="none" w:sz="0" w:space="0" w:color="auto"/>
      </w:divBdr>
    </w:div>
    <w:div w:id="74591024">
      <w:bodyDiv w:val="1"/>
      <w:marLeft w:val="0"/>
      <w:marRight w:val="0"/>
      <w:marTop w:val="0"/>
      <w:marBottom w:val="0"/>
      <w:divBdr>
        <w:top w:val="none" w:sz="0" w:space="0" w:color="auto"/>
        <w:left w:val="none" w:sz="0" w:space="0" w:color="auto"/>
        <w:bottom w:val="none" w:sz="0" w:space="0" w:color="auto"/>
        <w:right w:val="none" w:sz="0" w:space="0" w:color="auto"/>
      </w:divBdr>
    </w:div>
    <w:div w:id="79719391">
      <w:bodyDiv w:val="1"/>
      <w:marLeft w:val="0"/>
      <w:marRight w:val="0"/>
      <w:marTop w:val="0"/>
      <w:marBottom w:val="0"/>
      <w:divBdr>
        <w:top w:val="none" w:sz="0" w:space="0" w:color="auto"/>
        <w:left w:val="none" w:sz="0" w:space="0" w:color="auto"/>
        <w:bottom w:val="none" w:sz="0" w:space="0" w:color="auto"/>
        <w:right w:val="none" w:sz="0" w:space="0" w:color="auto"/>
      </w:divBdr>
    </w:div>
    <w:div w:id="81875353">
      <w:bodyDiv w:val="1"/>
      <w:marLeft w:val="0"/>
      <w:marRight w:val="0"/>
      <w:marTop w:val="0"/>
      <w:marBottom w:val="0"/>
      <w:divBdr>
        <w:top w:val="none" w:sz="0" w:space="0" w:color="auto"/>
        <w:left w:val="none" w:sz="0" w:space="0" w:color="auto"/>
        <w:bottom w:val="none" w:sz="0" w:space="0" w:color="auto"/>
        <w:right w:val="none" w:sz="0" w:space="0" w:color="auto"/>
      </w:divBdr>
    </w:div>
    <w:div w:id="82263337">
      <w:bodyDiv w:val="1"/>
      <w:marLeft w:val="0"/>
      <w:marRight w:val="0"/>
      <w:marTop w:val="0"/>
      <w:marBottom w:val="0"/>
      <w:divBdr>
        <w:top w:val="none" w:sz="0" w:space="0" w:color="auto"/>
        <w:left w:val="none" w:sz="0" w:space="0" w:color="auto"/>
        <w:bottom w:val="none" w:sz="0" w:space="0" w:color="auto"/>
        <w:right w:val="none" w:sz="0" w:space="0" w:color="auto"/>
      </w:divBdr>
    </w:div>
    <w:div w:id="82803908">
      <w:bodyDiv w:val="1"/>
      <w:marLeft w:val="0"/>
      <w:marRight w:val="0"/>
      <w:marTop w:val="0"/>
      <w:marBottom w:val="0"/>
      <w:divBdr>
        <w:top w:val="none" w:sz="0" w:space="0" w:color="auto"/>
        <w:left w:val="none" w:sz="0" w:space="0" w:color="auto"/>
        <w:bottom w:val="none" w:sz="0" w:space="0" w:color="auto"/>
        <w:right w:val="none" w:sz="0" w:space="0" w:color="auto"/>
      </w:divBdr>
    </w:div>
    <w:div w:id="90929770">
      <w:bodyDiv w:val="1"/>
      <w:marLeft w:val="0"/>
      <w:marRight w:val="0"/>
      <w:marTop w:val="0"/>
      <w:marBottom w:val="0"/>
      <w:divBdr>
        <w:top w:val="none" w:sz="0" w:space="0" w:color="auto"/>
        <w:left w:val="none" w:sz="0" w:space="0" w:color="auto"/>
        <w:bottom w:val="none" w:sz="0" w:space="0" w:color="auto"/>
        <w:right w:val="none" w:sz="0" w:space="0" w:color="auto"/>
      </w:divBdr>
    </w:div>
    <w:div w:id="96412581">
      <w:bodyDiv w:val="1"/>
      <w:marLeft w:val="0"/>
      <w:marRight w:val="0"/>
      <w:marTop w:val="0"/>
      <w:marBottom w:val="0"/>
      <w:divBdr>
        <w:top w:val="none" w:sz="0" w:space="0" w:color="auto"/>
        <w:left w:val="none" w:sz="0" w:space="0" w:color="auto"/>
        <w:bottom w:val="none" w:sz="0" w:space="0" w:color="auto"/>
        <w:right w:val="none" w:sz="0" w:space="0" w:color="auto"/>
      </w:divBdr>
    </w:div>
    <w:div w:id="97407457">
      <w:bodyDiv w:val="1"/>
      <w:marLeft w:val="0"/>
      <w:marRight w:val="0"/>
      <w:marTop w:val="0"/>
      <w:marBottom w:val="0"/>
      <w:divBdr>
        <w:top w:val="none" w:sz="0" w:space="0" w:color="auto"/>
        <w:left w:val="none" w:sz="0" w:space="0" w:color="auto"/>
        <w:bottom w:val="none" w:sz="0" w:space="0" w:color="auto"/>
        <w:right w:val="none" w:sz="0" w:space="0" w:color="auto"/>
      </w:divBdr>
    </w:div>
    <w:div w:id="105199920">
      <w:bodyDiv w:val="1"/>
      <w:marLeft w:val="0"/>
      <w:marRight w:val="0"/>
      <w:marTop w:val="0"/>
      <w:marBottom w:val="0"/>
      <w:divBdr>
        <w:top w:val="none" w:sz="0" w:space="0" w:color="auto"/>
        <w:left w:val="none" w:sz="0" w:space="0" w:color="auto"/>
        <w:bottom w:val="none" w:sz="0" w:space="0" w:color="auto"/>
        <w:right w:val="none" w:sz="0" w:space="0" w:color="auto"/>
      </w:divBdr>
    </w:div>
    <w:div w:id="105586289">
      <w:bodyDiv w:val="1"/>
      <w:marLeft w:val="0"/>
      <w:marRight w:val="0"/>
      <w:marTop w:val="0"/>
      <w:marBottom w:val="0"/>
      <w:divBdr>
        <w:top w:val="none" w:sz="0" w:space="0" w:color="auto"/>
        <w:left w:val="none" w:sz="0" w:space="0" w:color="auto"/>
        <w:bottom w:val="none" w:sz="0" w:space="0" w:color="auto"/>
        <w:right w:val="none" w:sz="0" w:space="0" w:color="auto"/>
      </w:divBdr>
    </w:div>
    <w:div w:id="107552410">
      <w:bodyDiv w:val="1"/>
      <w:marLeft w:val="0"/>
      <w:marRight w:val="0"/>
      <w:marTop w:val="0"/>
      <w:marBottom w:val="0"/>
      <w:divBdr>
        <w:top w:val="none" w:sz="0" w:space="0" w:color="auto"/>
        <w:left w:val="none" w:sz="0" w:space="0" w:color="auto"/>
        <w:bottom w:val="none" w:sz="0" w:space="0" w:color="auto"/>
        <w:right w:val="none" w:sz="0" w:space="0" w:color="auto"/>
      </w:divBdr>
    </w:div>
    <w:div w:id="110327444">
      <w:bodyDiv w:val="1"/>
      <w:marLeft w:val="0"/>
      <w:marRight w:val="0"/>
      <w:marTop w:val="0"/>
      <w:marBottom w:val="0"/>
      <w:divBdr>
        <w:top w:val="none" w:sz="0" w:space="0" w:color="auto"/>
        <w:left w:val="none" w:sz="0" w:space="0" w:color="auto"/>
        <w:bottom w:val="none" w:sz="0" w:space="0" w:color="auto"/>
        <w:right w:val="none" w:sz="0" w:space="0" w:color="auto"/>
      </w:divBdr>
    </w:div>
    <w:div w:id="112359796">
      <w:bodyDiv w:val="1"/>
      <w:marLeft w:val="0"/>
      <w:marRight w:val="0"/>
      <w:marTop w:val="0"/>
      <w:marBottom w:val="0"/>
      <w:divBdr>
        <w:top w:val="none" w:sz="0" w:space="0" w:color="auto"/>
        <w:left w:val="none" w:sz="0" w:space="0" w:color="auto"/>
        <w:bottom w:val="none" w:sz="0" w:space="0" w:color="auto"/>
        <w:right w:val="none" w:sz="0" w:space="0" w:color="auto"/>
      </w:divBdr>
    </w:div>
    <w:div w:id="123695536">
      <w:bodyDiv w:val="1"/>
      <w:marLeft w:val="0"/>
      <w:marRight w:val="0"/>
      <w:marTop w:val="0"/>
      <w:marBottom w:val="0"/>
      <w:divBdr>
        <w:top w:val="none" w:sz="0" w:space="0" w:color="auto"/>
        <w:left w:val="none" w:sz="0" w:space="0" w:color="auto"/>
        <w:bottom w:val="none" w:sz="0" w:space="0" w:color="auto"/>
        <w:right w:val="none" w:sz="0" w:space="0" w:color="auto"/>
      </w:divBdr>
    </w:div>
    <w:div w:id="124783345">
      <w:bodyDiv w:val="1"/>
      <w:marLeft w:val="0"/>
      <w:marRight w:val="0"/>
      <w:marTop w:val="0"/>
      <w:marBottom w:val="0"/>
      <w:divBdr>
        <w:top w:val="none" w:sz="0" w:space="0" w:color="auto"/>
        <w:left w:val="none" w:sz="0" w:space="0" w:color="auto"/>
        <w:bottom w:val="none" w:sz="0" w:space="0" w:color="auto"/>
        <w:right w:val="none" w:sz="0" w:space="0" w:color="auto"/>
      </w:divBdr>
    </w:div>
    <w:div w:id="125782882">
      <w:bodyDiv w:val="1"/>
      <w:marLeft w:val="0"/>
      <w:marRight w:val="0"/>
      <w:marTop w:val="0"/>
      <w:marBottom w:val="0"/>
      <w:divBdr>
        <w:top w:val="none" w:sz="0" w:space="0" w:color="auto"/>
        <w:left w:val="none" w:sz="0" w:space="0" w:color="auto"/>
        <w:bottom w:val="none" w:sz="0" w:space="0" w:color="auto"/>
        <w:right w:val="none" w:sz="0" w:space="0" w:color="auto"/>
      </w:divBdr>
    </w:div>
    <w:div w:id="130710900">
      <w:bodyDiv w:val="1"/>
      <w:marLeft w:val="0"/>
      <w:marRight w:val="0"/>
      <w:marTop w:val="0"/>
      <w:marBottom w:val="0"/>
      <w:divBdr>
        <w:top w:val="none" w:sz="0" w:space="0" w:color="auto"/>
        <w:left w:val="none" w:sz="0" w:space="0" w:color="auto"/>
        <w:bottom w:val="none" w:sz="0" w:space="0" w:color="auto"/>
        <w:right w:val="none" w:sz="0" w:space="0" w:color="auto"/>
      </w:divBdr>
    </w:div>
    <w:div w:id="132992117">
      <w:bodyDiv w:val="1"/>
      <w:marLeft w:val="0"/>
      <w:marRight w:val="0"/>
      <w:marTop w:val="0"/>
      <w:marBottom w:val="0"/>
      <w:divBdr>
        <w:top w:val="none" w:sz="0" w:space="0" w:color="auto"/>
        <w:left w:val="none" w:sz="0" w:space="0" w:color="auto"/>
        <w:bottom w:val="none" w:sz="0" w:space="0" w:color="auto"/>
        <w:right w:val="none" w:sz="0" w:space="0" w:color="auto"/>
      </w:divBdr>
    </w:div>
    <w:div w:id="136655815">
      <w:bodyDiv w:val="1"/>
      <w:marLeft w:val="0"/>
      <w:marRight w:val="0"/>
      <w:marTop w:val="0"/>
      <w:marBottom w:val="0"/>
      <w:divBdr>
        <w:top w:val="none" w:sz="0" w:space="0" w:color="auto"/>
        <w:left w:val="none" w:sz="0" w:space="0" w:color="auto"/>
        <w:bottom w:val="none" w:sz="0" w:space="0" w:color="auto"/>
        <w:right w:val="none" w:sz="0" w:space="0" w:color="auto"/>
      </w:divBdr>
    </w:div>
    <w:div w:id="143856630">
      <w:bodyDiv w:val="1"/>
      <w:marLeft w:val="0"/>
      <w:marRight w:val="0"/>
      <w:marTop w:val="0"/>
      <w:marBottom w:val="0"/>
      <w:divBdr>
        <w:top w:val="none" w:sz="0" w:space="0" w:color="auto"/>
        <w:left w:val="none" w:sz="0" w:space="0" w:color="auto"/>
        <w:bottom w:val="none" w:sz="0" w:space="0" w:color="auto"/>
        <w:right w:val="none" w:sz="0" w:space="0" w:color="auto"/>
      </w:divBdr>
    </w:div>
    <w:div w:id="144050062">
      <w:bodyDiv w:val="1"/>
      <w:marLeft w:val="0"/>
      <w:marRight w:val="0"/>
      <w:marTop w:val="0"/>
      <w:marBottom w:val="0"/>
      <w:divBdr>
        <w:top w:val="none" w:sz="0" w:space="0" w:color="auto"/>
        <w:left w:val="none" w:sz="0" w:space="0" w:color="auto"/>
        <w:bottom w:val="none" w:sz="0" w:space="0" w:color="auto"/>
        <w:right w:val="none" w:sz="0" w:space="0" w:color="auto"/>
      </w:divBdr>
    </w:div>
    <w:div w:id="145826346">
      <w:bodyDiv w:val="1"/>
      <w:marLeft w:val="0"/>
      <w:marRight w:val="0"/>
      <w:marTop w:val="0"/>
      <w:marBottom w:val="0"/>
      <w:divBdr>
        <w:top w:val="none" w:sz="0" w:space="0" w:color="auto"/>
        <w:left w:val="none" w:sz="0" w:space="0" w:color="auto"/>
        <w:bottom w:val="none" w:sz="0" w:space="0" w:color="auto"/>
        <w:right w:val="none" w:sz="0" w:space="0" w:color="auto"/>
      </w:divBdr>
    </w:div>
    <w:div w:id="148594294">
      <w:bodyDiv w:val="1"/>
      <w:marLeft w:val="0"/>
      <w:marRight w:val="0"/>
      <w:marTop w:val="0"/>
      <w:marBottom w:val="0"/>
      <w:divBdr>
        <w:top w:val="none" w:sz="0" w:space="0" w:color="auto"/>
        <w:left w:val="none" w:sz="0" w:space="0" w:color="auto"/>
        <w:bottom w:val="none" w:sz="0" w:space="0" w:color="auto"/>
        <w:right w:val="none" w:sz="0" w:space="0" w:color="auto"/>
      </w:divBdr>
    </w:div>
    <w:div w:id="151456771">
      <w:bodyDiv w:val="1"/>
      <w:marLeft w:val="0"/>
      <w:marRight w:val="0"/>
      <w:marTop w:val="0"/>
      <w:marBottom w:val="0"/>
      <w:divBdr>
        <w:top w:val="none" w:sz="0" w:space="0" w:color="auto"/>
        <w:left w:val="none" w:sz="0" w:space="0" w:color="auto"/>
        <w:bottom w:val="none" w:sz="0" w:space="0" w:color="auto"/>
        <w:right w:val="none" w:sz="0" w:space="0" w:color="auto"/>
      </w:divBdr>
    </w:div>
    <w:div w:id="152068742">
      <w:bodyDiv w:val="1"/>
      <w:marLeft w:val="0"/>
      <w:marRight w:val="0"/>
      <w:marTop w:val="0"/>
      <w:marBottom w:val="0"/>
      <w:divBdr>
        <w:top w:val="none" w:sz="0" w:space="0" w:color="auto"/>
        <w:left w:val="none" w:sz="0" w:space="0" w:color="auto"/>
        <w:bottom w:val="none" w:sz="0" w:space="0" w:color="auto"/>
        <w:right w:val="none" w:sz="0" w:space="0" w:color="auto"/>
      </w:divBdr>
    </w:div>
    <w:div w:id="174346272">
      <w:bodyDiv w:val="1"/>
      <w:marLeft w:val="0"/>
      <w:marRight w:val="0"/>
      <w:marTop w:val="0"/>
      <w:marBottom w:val="0"/>
      <w:divBdr>
        <w:top w:val="none" w:sz="0" w:space="0" w:color="auto"/>
        <w:left w:val="none" w:sz="0" w:space="0" w:color="auto"/>
        <w:bottom w:val="none" w:sz="0" w:space="0" w:color="auto"/>
        <w:right w:val="none" w:sz="0" w:space="0" w:color="auto"/>
      </w:divBdr>
    </w:div>
    <w:div w:id="185141403">
      <w:bodyDiv w:val="1"/>
      <w:marLeft w:val="0"/>
      <w:marRight w:val="0"/>
      <w:marTop w:val="0"/>
      <w:marBottom w:val="0"/>
      <w:divBdr>
        <w:top w:val="none" w:sz="0" w:space="0" w:color="auto"/>
        <w:left w:val="none" w:sz="0" w:space="0" w:color="auto"/>
        <w:bottom w:val="none" w:sz="0" w:space="0" w:color="auto"/>
        <w:right w:val="none" w:sz="0" w:space="0" w:color="auto"/>
      </w:divBdr>
    </w:div>
    <w:div w:id="187988856">
      <w:bodyDiv w:val="1"/>
      <w:marLeft w:val="0"/>
      <w:marRight w:val="0"/>
      <w:marTop w:val="0"/>
      <w:marBottom w:val="0"/>
      <w:divBdr>
        <w:top w:val="none" w:sz="0" w:space="0" w:color="auto"/>
        <w:left w:val="none" w:sz="0" w:space="0" w:color="auto"/>
        <w:bottom w:val="none" w:sz="0" w:space="0" w:color="auto"/>
        <w:right w:val="none" w:sz="0" w:space="0" w:color="auto"/>
      </w:divBdr>
    </w:div>
    <w:div w:id="188103660">
      <w:bodyDiv w:val="1"/>
      <w:marLeft w:val="0"/>
      <w:marRight w:val="0"/>
      <w:marTop w:val="0"/>
      <w:marBottom w:val="0"/>
      <w:divBdr>
        <w:top w:val="none" w:sz="0" w:space="0" w:color="auto"/>
        <w:left w:val="none" w:sz="0" w:space="0" w:color="auto"/>
        <w:bottom w:val="none" w:sz="0" w:space="0" w:color="auto"/>
        <w:right w:val="none" w:sz="0" w:space="0" w:color="auto"/>
      </w:divBdr>
    </w:div>
    <w:div w:id="192961027">
      <w:bodyDiv w:val="1"/>
      <w:marLeft w:val="0"/>
      <w:marRight w:val="0"/>
      <w:marTop w:val="0"/>
      <w:marBottom w:val="0"/>
      <w:divBdr>
        <w:top w:val="none" w:sz="0" w:space="0" w:color="auto"/>
        <w:left w:val="none" w:sz="0" w:space="0" w:color="auto"/>
        <w:bottom w:val="none" w:sz="0" w:space="0" w:color="auto"/>
        <w:right w:val="none" w:sz="0" w:space="0" w:color="auto"/>
      </w:divBdr>
    </w:div>
    <w:div w:id="194584819">
      <w:bodyDiv w:val="1"/>
      <w:marLeft w:val="0"/>
      <w:marRight w:val="0"/>
      <w:marTop w:val="0"/>
      <w:marBottom w:val="0"/>
      <w:divBdr>
        <w:top w:val="none" w:sz="0" w:space="0" w:color="auto"/>
        <w:left w:val="none" w:sz="0" w:space="0" w:color="auto"/>
        <w:bottom w:val="none" w:sz="0" w:space="0" w:color="auto"/>
        <w:right w:val="none" w:sz="0" w:space="0" w:color="auto"/>
      </w:divBdr>
    </w:div>
    <w:div w:id="197548416">
      <w:bodyDiv w:val="1"/>
      <w:marLeft w:val="0"/>
      <w:marRight w:val="0"/>
      <w:marTop w:val="0"/>
      <w:marBottom w:val="0"/>
      <w:divBdr>
        <w:top w:val="none" w:sz="0" w:space="0" w:color="auto"/>
        <w:left w:val="none" w:sz="0" w:space="0" w:color="auto"/>
        <w:bottom w:val="none" w:sz="0" w:space="0" w:color="auto"/>
        <w:right w:val="none" w:sz="0" w:space="0" w:color="auto"/>
      </w:divBdr>
    </w:div>
    <w:div w:id="198207176">
      <w:bodyDiv w:val="1"/>
      <w:marLeft w:val="0"/>
      <w:marRight w:val="0"/>
      <w:marTop w:val="0"/>
      <w:marBottom w:val="0"/>
      <w:divBdr>
        <w:top w:val="none" w:sz="0" w:space="0" w:color="auto"/>
        <w:left w:val="none" w:sz="0" w:space="0" w:color="auto"/>
        <w:bottom w:val="none" w:sz="0" w:space="0" w:color="auto"/>
        <w:right w:val="none" w:sz="0" w:space="0" w:color="auto"/>
      </w:divBdr>
    </w:div>
    <w:div w:id="200092860">
      <w:bodyDiv w:val="1"/>
      <w:marLeft w:val="0"/>
      <w:marRight w:val="0"/>
      <w:marTop w:val="0"/>
      <w:marBottom w:val="0"/>
      <w:divBdr>
        <w:top w:val="none" w:sz="0" w:space="0" w:color="auto"/>
        <w:left w:val="none" w:sz="0" w:space="0" w:color="auto"/>
        <w:bottom w:val="none" w:sz="0" w:space="0" w:color="auto"/>
        <w:right w:val="none" w:sz="0" w:space="0" w:color="auto"/>
      </w:divBdr>
    </w:div>
    <w:div w:id="201677929">
      <w:bodyDiv w:val="1"/>
      <w:marLeft w:val="0"/>
      <w:marRight w:val="0"/>
      <w:marTop w:val="0"/>
      <w:marBottom w:val="0"/>
      <w:divBdr>
        <w:top w:val="none" w:sz="0" w:space="0" w:color="auto"/>
        <w:left w:val="none" w:sz="0" w:space="0" w:color="auto"/>
        <w:bottom w:val="none" w:sz="0" w:space="0" w:color="auto"/>
        <w:right w:val="none" w:sz="0" w:space="0" w:color="auto"/>
      </w:divBdr>
    </w:div>
    <w:div w:id="212735491">
      <w:bodyDiv w:val="1"/>
      <w:marLeft w:val="0"/>
      <w:marRight w:val="0"/>
      <w:marTop w:val="0"/>
      <w:marBottom w:val="0"/>
      <w:divBdr>
        <w:top w:val="none" w:sz="0" w:space="0" w:color="auto"/>
        <w:left w:val="none" w:sz="0" w:space="0" w:color="auto"/>
        <w:bottom w:val="none" w:sz="0" w:space="0" w:color="auto"/>
        <w:right w:val="none" w:sz="0" w:space="0" w:color="auto"/>
      </w:divBdr>
    </w:div>
    <w:div w:id="213548859">
      <w:bodyDiv w:val="1"/>
      <w:marLeft w:val="0"/>
      <w:marRight w:val="0"/>
      <w:marTop w:val="0"/>
      <w:marBottom w:val="0"/>
      <w:divBdr>
        <w:top w:val="none" w:sz="0" w:space="0" w:color="auto"/>
        <w:left w:val="none" w:sz="0" w:space="0" w:color="auto"/>
        <w:bottom w:val="none" w:sz="0" w:space="0" w:color="auto"/>
        <w:right w:val="none" w:sz="0" w:space="0" w:color="auto"/>
      </w:divBdr>
    </w:div>
    <w:div w:id="215162096">
      <w:bodyDiv w:val="1"/>
      <w:marLeft w:val="0"/>
      <w:marRight w:val="0"/>
      <w:marTop w:val="0"/>
      <w:marBottom w:val="0"/>
      <w:divBdr>
        <w:top w:val="none" w:sz="0" w:space="0" w:color="auto"/>
        <w:left w:val="none" w:sz="0" w:space="0" w:color="auto"/>
        <w:bottom w:val="none" w:sz="0" w:space="0" w:color="auto"/>
        <w:right w:val="none" w:sz="0" w:space="0" w:color="auto"/>
      </w:divBdr>
    </w:div>
    <w:div w:id="215244500">
      <w:bodyDiv w:val="1"/>
      <w:marLeft w:val="0"/>
      <w:marRight w:val="0"/>
      <w:marTop w:val="0"/>
      <w:marBottom w:val="0"/>
      <w:divBdr>
        <w:top w:val="none" w:sz="0" w:space="0" w:color="auto"/>
        <w:left w:val="none" w:sz="0" w:space="0" w:color="auto"/>
        <w:bottom w:val="none" w:sz="0" w:space="0" w:color="auto"/>
        <w:right w:val="none" w:sz="0" w:space="0" w:color="auto"/>
      </w:divBdr>
    </w:div>
    <w:div w:id="215825699">
      <w:bodyDiv w:val="1"/>
      <w:marLeft w:val="0"/>
      <w:marRight w:val="0"/>
      <w:marTop w:val="0"/>
      <w:marBottom w:val="0"/>
      <w:divBdr>
        <w:top w:val="none" w:sz="0" w:space="0" w:color="auto"/>
        <w:left w:val="none" w:sz="0" w:space="0" w:color="auto"/>
        <w:bottom w:val="none" w:sz="0" w:space="0" w:color="auto"/>
        <w:right w:val="none" w:sz="0" w:space="0" w:color="auto"/>
      </w:divBdr>
    </w:div>
    <w:div w:id="216015620">
      <w:bodyDiv w:val="1"/>
      <w:marLeft w:val="0"/>
      <w:marRight w:val="0"/>
      <w:marTop w:val="0"/>
      <w:marBottom w:val="0"/>
      <w:divBdr>
        <w:top w:val="none" w:sz="0" w:space="0" w:color="auto"/>
        <w:left w:val="none" w:sz="0" w:space="0" w:color="auto"/>
        <w:bottom w:val="none" w:sz="0" w:space="0" w:color="auto"/>
        <w:right w:val="none" w:sz="0" w:space="0" w:color="auto"/>
      </w:divBdr>
    </w:div>
    <w:div w:id="229195783">
      <w:bodyDiv w:val="1"/>
      <w:marLeft w:val="0"/>
      <w:marRight w:val="0"/>
      <w:marTop w:val="0"/>
      <w:marBottom w:val="0"/>
      <w:divBdr>
        <w:top w:val="none" w:sz="0" w:space="0" w:color="auto"/>
        <w:left w:val="none" w:sz="0" w:space="0" w:color="auto"/>
        <w:bottom w:val="none" w:sz="0" w:space="0" w:color="auto"/>
        <w:right w:val="none" w:sz="0" w:space="0" w:color="auto"/>
      </w:divBdr>
    </w:div>
    <w:div w:id="231427703">
      <w:bodyDiv w:val="1"/>
      <w:marLeft w:val="0"/>
      <w:marRight w:val="0"/>
      <w:marTop w:val="0"/>
      <w:marBottom w:val="0"/>
      <w:divBdr>
        <w:top w:val="none" w:sz="0" w:space="0" w:color="auto"/>
        <w:left w:val="none" w:sz="0" w:space="0" w:color="auto"/>
        <w:bottom w:val="none" w:sz="0" w:space="0" w:color="auto"/>
        <w:right w:val="none" w:sz="0" w:space="0" w:color="auto"/>
      </w:divBdr>
    </w:div>
    <w:div w:id="233006187">
      <w:bodyDiv w:val="1"/>
      <w:marLeft w:val="0"/>
      <w:marRight w:val="0"/>
      <w:marTop w:val="0"/>
      <w:marBottom w:val="0"/>
      <w:divBdr>
        <w:top w:val="none" w:sz="0" w:space="0" w:color="auto"/>
        <w:left w:val="none" w:sz="0" w:space="0" w:color="auto"/>
        <w:bottom w:val="none" w:sz="0" w:space="0" w:color="auto"/>
        <w:right w:val="none" w:sz="0" w:space="0" w:color="auto"/>
      </w:divBdr>
    </w:div>
    <w:div w:id="238247399">
      <w:bodyDiv w:val="1"/>
      <w:marLeft w:val="0"/>
      <w:marRight w:val="0"/>
      <w:marTop w:val="0"/>
      <w:marBottom w:val="0"/>
      <w:divBdr>
        <w:top w:val="none" w:sz="0" w:space="0" w:color="auto"/>
        <w:left w:val="none" w:sz="0" w:space="0" w:color="auto"/>
        <w:bottom w:val="none" w:sz="0" w:space="0" w:color="auto"/>
        <w:right w:val="none" w:sz="0" w:space="0" w:color="auto"/>
      </w:divBdr>
    </w:div>
    <w:div w:id="241182053">
      <w:bodyDiv w:val="1"/>
      <w:marLeft w:val="0"/>
      <w:marRight w:val="0"/>
      <w:marTop w:val="0"/>
      <w:marBottom w:val="0"/>
      <w:divBdr>
        <w:top w:val="none" w:sz="0" w:space="0" w:color="auto"/>
        <w:left w:val="none" w:sz="0" w:space="0" w:color="auto"/>
        <w:bottom w:val="none" w:sz="0" w:space="0" w:color="auto"/>
        <w:right w:val="none" w:sz="0" w:space="0" w:color="auto"/>
      </w:divBdr>
    </w:div>
    <w:div w:id="241986606">
      <w:bodyDiv w:val="1"/>
      <w:marLeft w:val="0"/>
      <w:marRight w:val="0"/>
      <w:marTop w:val="0"/>
      <w:marBottom w:val="0"/>
      <w:divBdr>
        <w:top w:val="none" w:sz="0" w:space="0" w:color="auto"/>
        <w:left w:val="none" w:sz="0" w:space="0" w:color="auto"/>
        <w:bottom w:val="none" w:sz="0" w:space="0" w:color="auto"/>
        <w:right w:val="none" w:sz="0" w:space="0" w:color="auto"/>
      </w:divBdr>
    </w:div>
    <w:div w:id="242182142">
      <w:bodyDiv w:val="1"/>
      <w:marLeft w:val="0"/>
      <w:marRight w:val="0"/>
      <w:marTop w:val="0"/>
      <w:marBottom w:val="0"/>
      <w:divBdr>
        <w:top w:val="none" w:sz="0" w:space="0" w:color="auto"/>
        <w:left w:val="none" w:sz="0" w:space="0" w:color="auto"/>
        <w:bottom w:val="none" w:sz="0" w:space="0" w:color="auto"/>
        <w:right w:val="none" w:sz="0" w:space="0" w:color="auto"/>
      </w:divBdr>
    </w:div>
    <w:div w:id="243031482">
      <w:bodyDiv w:val="1"/>
      <w:marLeft w:val="0"/>
      <w:marRight w:val="0"/>
      <w:marTop w:val="0"/>
      <w:marBottom w:val="0"/>
      <w:divBdr>
        <w:top w:val="none" w:sz="0" w:space="0" w:color="auto"/>
        <w:left w:val="none" w:sz="0" w:space="0" w:color="auto"/>
        <w:bottom w:val="none" w:sz="0" w:space="0" w:color="auto"/>
        <w:right w:val="none" w:sz="0" w:space="0" w:color="auto"/>
      </w:divBdr>
    </w:div>
    <w:div w:id="251279432">
      <w:bodyDiv w:val="1"/>
      <w:marLeft w:val="0"/>
      <w:marRight w:val="0"/>
      <w:marTop w:val="0"/>
      <w:marBottom w:val="0"/>
      <w:divBdr>
        <w:top w:val="none" w:sz="0" w:space="0" w:color="auto"/>
        <w:left w:val="none" w:sz="0" w:space="0" w:color="auto"/>
        <w:bottom w:val="none" w:sz="0" w:space="0" w:color="auto"/>
        <w:right w:val="none" w:sz="0" w:space="0" w:color="auto"/>
      </w:divBdr>
    </w:div>
    <w:div w:id="258880512">
      <w:bodyDiv w:val="1"/>
      <w:marLeft w:val="0"/>
      <w:marRight w:val="0"/>
      <w:marTop w:val="0"/>
      <w:marBottom w:val="0"/>
      <w:divBdr>
        <w:top w:val="none" w:sz="0" w:space="0" w:color="auto"/>
        <w:left w:val="none" w:sz="0" w:space="0" w:color="auto"/>
        <w:bottom w:val="none" w:sz="0" w:space="0" w:color="auto"/>
        <w:right w:val="none" w:sz="0" w:space="0" w:color="auto"/>
      </w:divBdr>
    </w:div>
    <w:div w:id="259221545">
      <w:bodyDiv w:val="1"/>
      <w:marLeft w:val="0"/>
      <w:marRight w:val="0"/>
      <w:marTop w:val="0"/>
      <w:marBottom w:val="0"/>
      <w:divBdr>
        <w:top w:val="none" w:sz="0" w:space="0" w:color="auto"/>
        <w:left w:val="none" w:sz="0" w:space="0" w:color="auto"/>
        <w:bottom w:val="none" w:sz="0" w:space="0" w:color="auto"/>
        <w:right w:val="none" w:sz="0" w:space="0" w:color="auto"/>
      </w:divBdr>
    </w:div>
    <w:div w:id="261955276">
      <w:bodyDiv w:val="1"/>
      <w:marLeft w:val="0"/>
      <w:marRight w:val="0"/>
      <w:marTop w:val="0"/>
      <w:marBottom w:val="0"/>
      <w:divBdr>
        <w:top w:val="none" w:sz="0" w:space="0" w:color="auto"/>
        <w:left w:val="none" w:sz="0" w:space="0" w:color="auto"/>
        <w:bottom w:val="none" w:sz="0" w:space="0" w:color="auto"/>
        <w:right w:val="none" w:sz="0" w:space="0" w:color="auto"/>
      </w:divBdr>
    </w:div>
    <w:div w:id="266161147">
      <w:bodyDiv w:val="1"/>
      <w:marLeft w:val="0"/>
      <w:marRight w:val="0"/>
      <w:marTop w:val="0"/>
      <w:marBottom w:val="0"/>
      <w:divBdr>
        <w:top w:val="none" w:sz="0" w:space="0" w:color="auto"/>
        <w:left w:val="none" w:sz="0" w:space="0" w:color="auto"/>
        <w:bottom w:val="none" w:sz="0" w:space="0" w:color="auto"/>
        <w:right w:val="none" w:sz="0" w:space="0" w:color="auto"/>
      </w:divBdr>
    </w:div>
    <w:div w:id="267323274">
      <w:bodyDiv w:val="1"/>
      <w:marLeft w:val="0"/>
      <w:marRight w:val="0"/>
      <w:marTop w:val="0"/>
      <w:marBottom w:val="0"/>
      <w:divBdr>
        <w:top w:val="none" w:sz="0" w:space="0" w:color="auto"/>
        <w:left w:val="none" w:sz="0" w:space="0" w:color="auto"/>
        <w:bottom w:val="none" w:sz="0" w:space="0" w:color="auto"/>
        <w:right w:val="none" w:sz="0" w:space="0" w:color="auto"/>
      </w:divBdr>
    </w:div>
    <w:div w:id="268974451">
      <w:bodyDiv w:val="1"/>
      <w:marLeft w:val="0"/>
      <w:marRight w:val="0"/>
      <w:marTop w:val="0"/>
      <w:marBottom w:val="0"/>
      <w:divBdr>
        <w:top w:val="none" w:sz="0" w:space="0" w:color="auto"/>
        <w:left w:val="none" w:sz="0" w:space="0" w:color="auto"/>
        <w:bottom w:val="none" w:sz="0" w:space="0" w:color="auto"/>
        <w:right w:val="none" w:sz="0" w:space="0" w:color="auto"/>
      </w:divBdr>
    </w:div>
    <w:div w:id="274093498">
      <w:bodyDiv w:val="1"/>
      <w:marLeft w:val="0"/>
      <w:marRight w:val="0"/>
      <w:marTop w:val="0"/>
      <w:marBottom w:val="0"/>
      <w:divBdr>
        <w:top w:val="none" w:sz="0" w:space="0" w:color="auto"/>
        <w:left w:val="none" w:sz="0" w:space="0" w:color="auto"/>
        <w:bottom w:val="none" w:sz="0" w:space="0" w:color="auto"/>
        <w:right w:val="none" w:sz="0" w:space="0" w:color="auto"/>
      </w:divBdr>
    </w:div>
    <w:div w:id="284235260">
      <w:bodyDiv w:val="1"/>
      <w:marLeft w:val="0"/>
      <w:marRight w:val="0"/>
      <w:marTop w:val="0"/>
      <w:marBottom w:val="0"/>
      <w:divBdr>
        <w:top w:val="none" w:sz="0" w:space="0" w:color="auto"/>
        <w:left w:val="none" w:sz="0" w:space="0" w:color="auto"/>
        <w:bottom w:val="none" w:sz="0" w:space="0" w:color="auto"/>
        <w:right w:val="none" w:sz="0" w:space="0" w:color="auto"/>
      </w:divBdr>
    </w:div>
    <w:div w:id="286011638">
      <w:bodyDiv w:val="1"/>
      <w:marLeft w:val="0"/>
      <w:marRight w:val="0"/>
      <w:marTop w:val="0"/>
      <w:marBottom w:val="0"/>
      <w:divBdr>
        <w:top w:val="none" w:sz="0" w:space="0" w:color="auto"/>
        <w:left w:val="none" w:sz="0" w:space="0" w:color="auto"/>
        <w:bottom w:val="none" w:sz="0" w:space="0" w:color="auto"/>
        <w:right w:val="none" w:sz="0" w:space="0" w:color="auto"/>
      </w:divBdr>
    </w:div>
    <w:div w:id="292174734">
      <w:bodyDiv w:val="1"/>
      <w:marLeft w:val="0"/>
      <w:marRight w:val="0"/>
      <w:marTop w:val="0"/>
      <w:marBottom w:val="0"/>
      <w:divBdr>
        <w:top w:val="none" w:sz="0" w:space="0" w:color="auto"/>
        <w:left w:val="none" w:sz="0" w:space="0" w:color="auto"/>
        <w:bottom w:val="none" w:sz="0" w:space="0" w:color="auto"/>
        <w:right w:val="none" w:sz="0" w:space="0" w:color="auto"/>
      </w:divBdr>
    </w:div>
    <w:div w:id="300424114">
      <w:bodyDiv w:val="1"/>
      <w:marLeft w:val="0"/>
      <w:marRight w:val="0"/>
      <w:marTop w:val="0"/>
      <w:marBottom w:val="0"/>
      <w:divBdr>
        <w:top w:val="none" w:sz="0" w:space="0" w:color="auto"/>
        <w:left w:val="none" w:sz="0" w:space="0" w:color="auto"/>
        <w:bottom w:val="none" w:sz="0" w:space="0" w:color="auto"/>
        <w:right w:val="none" w:sz="0" w:space="0" w:color="auto"/>
      </w:divBdr>
    </w:div>
    <w:div w:id="303658245">
      <w:bodyDiv w:val="1"/>
      <w:marLeft w:val="0"/>
      <w:marRight w:val="0"/>
      <w:marTop w:val="0"/>
      <w:marBottom w:val="0"/>
      <w:divBdr>
        <w:top w:val="none" w:sz="0" w:space="0" w:color="auto"/>
        <w:left w:val="none" w:sz="0" w:space="0" w:color="auto"/>
        <w:bottom w:val="none" w:sz="0" w:space="0" w:color="auto"/>
        <w:right w:val="none" w:sz="0" w:space="0" w:color="auto"/>
      </w:divBdr>
    </w:div>
    <w:div w:id="304899532">
      <w:bodyDiv w:val="1"/>
      <w:marLeft w:val="0"/>
      <w:marRight w:val="0"/>
      <w:marTop w:val="0"/>
      <w:marBottom w:val="0"/>
      <w:divBdr>
        <w:top w:val="none" w:sz="0" w:space="0" w:color="auto"/>
        <w:left w:val="none" w:sz="0" w:space="0" w:color="auto"/>
        <w:bottom w:val="none" w:sz="0" w:space="0" w:color="auto"/>
        <w:right w:val="none" w:sz="0" w:space="0" w:color="auto"/>
      </w:divBdr>
    </w:div>
    <w:div w:id="311444938">
      <w:bodyDiv w:val="1"/>
      <w:marLeft w:val="0"/>
      <w:marRight w:val="0"/>
      <w:marTop w:val="0"/>
      <w:marBottom w:val="0"/>
      <w:divBdr>
        <w:top w:val="none" w:sz="0" w:space="0" w:color="auto"/>
        <w:left w:val="none" w:sz="0" w:space="0" w:color="auto"/>
        <w:bottom w:val="none" w:sz="0" w:space="0" w:color="auto"/>
        <w:right w:val="none" w:sz="0" w:space="0" w:color="auto"/>
      </w:divBdr>
    </w:div>
    <w:div w:id="314339545">
      <w:bodyDiv w:val="1"/>
      <w:marLeft w:val="0"/>
      <w:marRight w:val="0"/>
      <w:marTop w:val="0"/>
      <w:marBottom w:val="0"/>
      <w:divBdr>
        <w:top w:val="none" w:sz="0" w:space="0" w:color="auto"/>
        <w:left w:val="none" w:sz="0" w:space="0" w:color="auto"/>
        <w:bottom w:val="none" w:sz="0" w:space="0" w:color="auto"/>
        <w:right w:val="none" w:sz="0" w:space="0" w:color="auto"/>
      </w:divBdr>
    </w:div>
    <w:div w:id="324862560">
      <w:bodyDiv w:val="1"/>
      <w:marLeft w:val="0"/>
      <w:marRight w:val="0"/>
      <w:marTop w:val="0"/>
      <w:marBottom w:val="0"/>
      <w:divBdr>
        <w:top w:val="none" w:sz="0" w:space="0" w:color="auto"/>
        <w:left w:val="none" w:sz="0" w:space="0" w:color="auto"/>
        <w:bottom w:val="none" w:sz="0" w:space="0" w:color="auto"/>
        <w:right w:val="none" w:sz="0" w:space="0" w:color="auto"/>
      </w:divBdr>
    </w:div>
    <w:div w:id="327096349">
      <w:bodyDiv w:val="1"/>
      <w:marLeft w:val="0"/>
      <w:marRight w:val="0"/>
      <w:marTop w:val="0"/>
      <w:marBottom w:val="0"/>
      <w:divBdr>
        <w:top w:val="none" w:sz="0" w:space="0" w:color="auto"/>
        <w:left w:val="none" w:sz="0" w:space="0" w:color="auto"/>
        <w:bottom w:val="none" w:sz="0" w:space="0" w:color="auto"/>
        <w:right w:val="none" w:sz="0" w:space="0" w:color="auto"/>
      </w:divBdr>
    </w:div>
    <w:div w:id="330529675">
      <w:bodyDiv w:val="1"/>
      <w:marLeft w:val="0"/>
      <w:marRight w:val="0"/>
      <w:marTop w:val="0"/>
      <w:marBottom w:val="0"/>
      <w:divBdr>
        <w:top w:val="none" w:sz="0" w:space="0" w:color="auto"/>
        <w:left w:val="none" w:sz="0" w:space="0" w:color="auto"/>
        <w:bottom w:val="none" w:sz="0" w:space="0" w:color="auto"/>
        <w:right w:val="none" w:sz="0" w:space="0" w:color="auto"/>
      </w:divBdr>
    </w:div>
    <w:div w:id="335498308">
      <w:bodyDiv w:val="1"/>
      <w:marLeft w:val="0"/>
      <w:marRight w:val="0"/>
      <w:marTop w:val="0"/>
      <w:marBottom w:val="0"/>
      <w:divBdr>
        <w:top w:val="none" w:sz="0" w:space="0" w:color="auto"/>
        <w:left w:val="none" w:sz="0" w:space="0" w:color="auto"/>
        <w:bottom w:val="none" w:sz="0" w:space="0" w:color="auto"/>
        <w:right w:val="none" w:sz="0" w:space="0" w:color="auto"/>
      </w:divBdr>
    </w:div>
    <w:div w:id="339236639">
      <w:bodyDiv w:val="1"/>
      <w:marLeft w:val="0"/>
      <w:marRight w:val="0"/>
      <w:marTop w:val="0"/>
      <w:marBottom w:val="0"/>
      <w:divBdr>
        <w:top w:val="none" w:sz="0" w:space="0" w:color="auto"/>
        <w:left w:val="none" w:sz="0" w:space="0" w:color="auto"/>
        <w:bottom w:val="none" w:sz="0" w:space="0" w:color="auto"/>
        <w:right w:val="none" w:sz="0" w:space="0" w:color="auto"/>
      </w:divBdr>
    </w:div>
    <w:div w:id="341980638">
      <w:bodyDiv w:val="1"/>
      <w:marLeft w:val="0"/>
      <w:marRight w:val="0"/>
      <w:marTop w:val="0"/>
      <w:marBottom w:val="0"/>
      <w:divBdr>
        <w:top w:val="none" w:sz="0" w:space="0" w:color="auto"/>
        <w:left w:val="none" w:sz="0" w:space="0" w:color="auto"/>
        <w:bottom w:val="none" w:sz="0" w:space="0" w:color="auto"/>
        <w:right w:val="none" w:sz="0" w:space="0" w:color="auto"/>
      </w:divBdr>
    </w:div>
    <w:div w:id="342514093">
      <w:bodyDiv w:val="1"/>
      <w:marLeft w:val="0"/>
      <w:marRight w:val="0"/>
      <w:marTop w:val="0"/>
      <w:marBottom w:val="0"/>
      <w:divBdr>
        <w:top w:val="none" w:sz="0" w:space="0" w:color="auto"/>
        <w:left w:val="none" w:sz="0" w:space="0" w:color="auto"/>
        <w:bottom w:val="none" w:sz="0" w:space="0" w:color="auto"/>
        <w:right w:val="none" w:sz="0" w:space="0" w:color="auto"/>
      </w:divBdr>
    </w:div>
    <w:div w:id="349375201">
      <w:bodyDiv w:val="1"/>
      <w:marLeft w:val="0"/>
      <w:marRight w:val="0"/>
      <w:marTop w:val="0"/>
      <w:marBottom w:val="0"/>
      <w:divBdr>
        <w:top w:val="none" w:sz="0" w:space="0" w:color="auto"/>
        <w:left w:val="none" w:sz="0" w:space="0" w:color="auto"/>
        <w:bottom w:val="none" w:sz="0" w:space="0" w:color="auto"/>
        <w:right w:val="none" w:sz="0" w:space="0" w:color="auto"/>
      </w:divBdr>
    </w:div>
    <w:div w:id="351690479">
      <w:bodyDiv w:val="1"/>
      <w:marLeft w:val="0"/>
      <w:marRight w:val="0"/>
      <w:marTop w:val="0"/>
      <w:marBottom w:val="0"/>
      <w:divBdr>
        <w:top w:val="none" w:sz="0" w:space="0" w:color="auto"/>
        <w:left w:val="none" w:sz="0" w:space="0" w:color="auto"/>
        <w:bottom w:val="none" w:sz="0" w:space="0" w:color="auto"/>
        <w:right w:val="none" w:sz="0" w:space="0" w:color="auto"/>
      </w:divBdr>
    </w:div>
    <w:div w:id="351802777">
      <w:bodyDiv w:val="1"/>
      <w:marLeft w:val="0"/>
      <w:marRight w:val="0"/>
      <w:marTop w:val="0"/>
      <w:marBottom w:val="0"/>
      <w:divBdr>
        <w:top w:val="none" w:sz="0" w:space="0" w:color="auto"/>
        <w:left w:val="none" w:sz="0" w:space="0" w:color="auto"/>
        <w:bottom w:val="none" w:sz="0" w:space="0" w:color="auto"/>
        <w:right w:val="none" w:sz="0" w:space="0" w:color="auto"/>
      </w:divBdr>
    </w:div>
    <w:div w:id="353268178">
      <w:bodyDiv w:val="1"/>
      <w:marLeft w:val="0"/>
      <w:marRight w:val="0"/>
      <w:marTop w:val="0"/>
      <w:marBottom w:val="0"/>
      <w:divBdr>
        <w:top w:val="none" w:sz="0" w:space="0" w:color="auto"/>
        <w:left w:val="none" w:sz="0" w:space="0" w:color="auto"/>
        <w:bottom w:val="none" w:sz="0" w:space="0" w:color="auto"/>
        <w:right w:val="none" w:sz="0" w:space="0" w:color="auto"/>
      </w:divBdr>
    </w:div>
    <w:div w:id="356925723">
      <w:bodyDiv w:val="1"/>
      <w:marLeft w:val="0"/>
      <w:marRight w:val="0"/>
      <w:marTop w:val="0"/>
      <w:marBottom w:val="0"/>
      <w:divBdr>
        <w:top w:val="none" w:sz="0" w:space="0" w:color="auto"/>
        <w:left w:val="none" w:sz="0" w:space="0" w:color="auto"/>
        <w:bottom w:val="none" w:sz="0" w:space="0" w:color="auto"/>
        <w:right w:val="none" w:sz="0" w:space="0" w:color="auto"/>
      </w:divBdr>
    </w:div>
    <w:div w:id="358631040">
      <w:bodyDiv w:val="1"/>
      <w:marLeft w:val="0"/>
      <w:marRight w:val="0"/>
      <w:marTop w:val="0"/>
      <w:marBottom w:val="0"/>
      <w:divBdr>
        <w:top w:val="none" w:sz="0" w:space="0" w:color="auto"/>
        <w:left w:val="none" w:sz="0" w:space="0" w:color="auto"/>
        <w:bottom w:val="none" w:sz="0" w:space="0" w:color="auto"/>
        <w:right w:val="none" w:sz="0" w:space="0" w:color="auto"/>
      </w:divBdr>
    </w:div>
    <w:div w:id="359824095">
      <w:bodyDiv w:val="1"/>
      <w:marLeft w:val="0"/>
      <w:marRight w:val="0"/>
      <w:marTop w:val="0"/>
      <w:marBottom w:val="0"/>
      <w:divBdr>
        <w:top w:val="none" w:sz="0" w:space="0" w:color="auto"/>
        <w:left w:val="none" w:sz="0" w:space="0" w:color="auto"/>
        <w:bottom w:val="none" w:sz="0" w:space="0" w:color="auto"/>
        <w:right w:val="none" w:sz="0" w:space="0" w:color="auto"/>
      </w:divBdr>
    </w:div>
    <w:div w:id="383648606">
      <w:bodyDiv w:val="1"/>
      <w:marLeft w:val="0"/>
      <w:marRight w:val="0"/>
      <w:marTop w:val="0"/>
      <w:marBottom w:val="0"/>
      <w:divBdr>
        <w:top w:val="none" w:sz="0" w:space="0" w:color="auto"/>
        <w:left w:val="none" w:sz="0" w:space="0" w:color="auto"/>
        <w:bottom w:val="none" w:sz="0" w:space="0" w:color="auto"/>
        <w:right w:val="none" w:sz="0" w:space="0" w:color="auto"/>
      </w:divBdr>
    </w:div>
    <w:div w:id="395517963">
      <w:bodyDiv w:val="1"/>
      <w:marLeft w:val="0"/>
      <w:marRight w:val="0"/>
      <w:marTop w:val="0"/>
      <w:marBottom w:val="0"/>
      <w:divBdr>
        <w:top w:val="none" w:sz="0" w:space="0" w:color="auto"/>
        <w:left w:val="none" w:sz="0" w:space="0" w:color="auto"/>
        <w:bottom w:val="none" w:sz="0" w:space="0" w:color="auto"/>
        <w:right w:val="none" w:sz="0" w:space="0" w:color="auto"/>
      </w:divBdr>
    </w:div>
    <w:div w:id="398481249">
      <w:bodyDiv w:val="1"/>
      <w:marLeft w:val="0"/>
      <w:marRight w:val="0"/>
      <w:marTop w:val="0"/>
      <w:marBottom w:val="0"/>
      <w:divBdr>
        <w:top w:val="none" w:sz="0" w:space="0" w:color="auto"/>
        <w:left w:val="none" w:sz="0" w:space="0" w:color="auto"/>
        <w:bottom w:val="none" w:sz="0" w:space="0" w:color="auto"/>
        <w:right w:val="none" w:sz="0" w:space="0" w:color="auto"/>
      </w:divBdr>
    </w:div>
    <w:div w:id="408506578">
      <w:bodyDiv w:val="1"/>
      <w:marLeft w:val="0"/>
      <w:marRight w:val="0"/>
      <w:marTop w:val="0"/>
      <w:marBottom w:val="0"/>
      <w:divBdr>
        <w:top w:val="none" w:sz="0" w:space="0" w:color="auto"/>
        <w:left w:val="none" w:sz="0" w:space="0" w:color="auto"/>
        <w:bottom w:val="none" w:sz="0" w:space="0" w:color="auto"/>
        <w:right w:val="none" w:sz="0" w:space="0" w:color="auto"/>
      </w:divBdr>
    </w:div>
    <w:div w:id="410809261">
      <w:bodyDiv w:val="1"/>
      <w:marLeft w:val="0"/>
      <w:marRight w:val="0"/>
      <w:marTop w:val="0"/>
      <w:marBottom w:val="0"/>
      <w:divBdr>
        <w:top w:val="none" w:sz="0" w:space="0" w:color="auto"/>
        <w:left w:val="none" w:sz="0" w:space="0" w:color="auto"/>
        <w:bottom w:val="none" w:sz="0" w:space="0" w:color="auto"/>
        <w:right w:val="none" w:sz="0" w:space="0" w:color="auto"/>
      </w:divBdr>
    </w:div>
    <w:div w:id="413671738">
      <w:bodyDiv w:val="1"/>
      <w:marLeft w:val="0"/>
      <w:marRight w:val="0"/>
      <w:marTop w:val="0"/>
      <w:marBottom w:val="0"/>
      <w:divBdr>
        <w:top w:val="none" w:sz="0" w:space="0" w:color="auto"/>
        <w:left w:val="none" w:sz="0" w:space="0" w:color="auto"/>
        <w:bottom w:val="none" w:sz="0" w:space="0" w:color="auto"/>
        <w:right w:val="none" w:sz="0" w:space="0" w:color="auto"/>
      </w:divBdr>
    </w:div>
    <w:div w:id="418065602">
      <w:bodyDiv w:val="1"/>
      <w:marLeft w:val="0"/>
      <w:marRight w:val="0"/>
      <w:marTop w:val="0"/>
      <w:marBottom w:val="0"/>
      <w:divBdr>
        <w:top w:val="none" w:sz="0" w:space="0" w:color="auto"/>
        <w:left w:val="none" w:sz="0" w:space="0" w:color="auto"/>
        <w:bottom w:val="none" w:sz="0" w:space="0" w:color="auto"/>
        <w:right w:val="none" w:sz="0" w:space="0" w:color="auto"/>
      </w:divBdr>
    </w:div>
    <w:div w:id="433718413">
      <w:bodyDiv w:val="1"/>
      <w:marLeft w:val="0"/>
      <w:marRight w:val="0"/>
      <w:marTop w:val="0"/>
      <w:marBottom w:val="0"/>
      <w:divBdr>
        <w:top w:val="none" w:sz="0" w:space="0" w:color="auto"/>
        <w:left w:val="none" w:sz="0" w:space="0" w:color="auto"/>
        <w:bottom w:val="none" w:sz="0" w:space="0" w:color="auto"/>
        <w:right w:val="none" w:sz="0" w:space="0" w:color="auto"/>
      </w:divBdr>
    </w:div>
    <w:div w:id="434253562">
      <w:bodyDiv w:val="1"/>
      <w:marLeft w:val="0"/>
      <w:marRight w:val="0"/>
      <w:marTop w:val="0"/>
      <w:marBottom w:val="0"/>
      <w:divBdr>
        <w:top w:val="none" w:sz="0" w:space="0" w:color="auto"/>
        <w:left w:val="none" w:sz="0" w:space="0" w:color="auto"/>
        <w:bottom w:val="none" w:sz="0" w:space="0" w:color="auto"/>
        <w:right w:val="none" w:sz="0" w:space="0" w:color="auto"/>
      </w:divBdr>
    </w:div>
    <w:div w:id="436827935">
      <w:bodyDiv w:val="1"/>
      <w:marLeft w:val="0"/>
      <w:marRight w:val="0"/>
      <w:marTop w:val="0"/>
      <w:marBottom w:val="0"/>
      <w:divBdr>
        <w:top w:val="none" w:sz="0" w:space="0" w:color="auto"/>
        <w:left w:val="none" w:sz="0" w:space="0" w:color="auto"/>
        <w:bottom w:val="none" w:sz="0" w:space="0" w:color="auto"/>
        <w:right w:val="none" w:sz="0" w:space="0" w:color="auto"/>
      </w:divBdr>
    </w:div>
    <w:div w:id="441799715">
      <w:bodyDiv w:val="1"/>
      <w:marLeft w:val="0"/>
      <w:marRight w:val="0"/>
      <w:marTop w:val="0"/>
      <w:marBottom w:val="0"/>
      <w:divBdr>
        <w:top w:val="none" w:sz="0" w:space="0" w:color="auto"/>
        <w:left w:val="none" w:sz="0" w:space="0" w:color="auto"/>
        <w:bottom w:val="none" w:sz="0" w:space="0" w:color="auto"/>
        <w:right w:val="none" w:sz="0" w:space="0" w:color="auto"/>
      </w:divBdr>
    </w:div>
    <w:div w:id="456219734">
      <w:bodyDiv w:val="1"/>
      <w:marLeft w:val="0"/>
      <w:marRight w:val="0"/>
      <w:marTop w:val="0"/>
      <w:marBottom w:val="0"/>
      <w:divBdr>
        <w:top w:val="none" w:sz="0" w:space="0" w:color="auto"/>
        <w:left w:val="none" w:sz="0" w:space="0" w:color="auto"/>
        <w:bottom w:val="none" w:sz="0" w:space="0" w:color="auto"/>
        <w:right w:val="none" w:sz="0" w:space="0" w:color="auto"/>
      </w:divBdr>
    </w:div>
    <w:div w:id="456798584">
      <w:bodyDiv w:val="1"/>
      <w:marLeft w:val="0"/>
      <w:marRight w:val="0"/>
      <w:marTop w:val="0"/>
      <w:marBottom w:val="0"/>
      <w:divBdr>
        <w:top w:val="none" w:sz="0" w:space="0" w:color="auto"/>
        <w:left w:val="none" w:sz="0" w:space="0" w:color="auto"/>
        <w:bottom w:val="none" w:sz="0" w:space="0" w:color="auto"/>
        <w:right w:val="none" w:sz="0" w:space="0" w:color="auto"/>
      </w:divBdr>
    </w:div>
    <w:div w:id="460151472">
      <w:bodyDiv w:val="1"/>
      <w:marLeft w:val="0"/>
      <w:marRight w:val="0"/>
      <w:marTop w:val="0"/>
      <w:marBottom w:val="0"/>
      <w:divBdr>
        <w:top w:val="none" w:sz="0" w:space="0" w:color="auto"/>
        <w:left w:val="none" w:sz="0" w:space="0" w:color="auto"/>
        <w:bottom w:val="none" w:sz="0" w:space="0" w:color="auto"/>
        <w:right w:val="none" w:sz="0" w:space="0" w:color="auto"/>
      </w:divBdr>
    </w:div>
    <w:div w:id="460540652">
      <w:bodyDiv w:val="1"/>
      <w:marLeft w:val="0"/>
      <w:marRight w:val="0"/>
      <w:marTop w:val="0"/>
      <w:marBottom w:val="0"/>
      <w:divBdr>
        <w:top w:val="none" w:sz="0" w:space="0" w:color="auto"/>
        <w:left w:val="none" w:sz="0" w:space="0" w:color="auto"/>
        <w:bottom w:val="none" w:sz="0" w:space="0" w:color="auto"/>
        <w:right w:val="none" w:sz="0" w:space="0" w:color="auto"/>
      </w:divBdr>
    </w:div>
    <w:div w:id="464203008">
      <w:bodyDiv w:val="1"/>
      <w:marLeft w:val="0"/>
      <w:marRight w:val="0"/>
      <w:marTop w:val="0"/>
      <w:marBottom w:val="0"/>
      <w:divBdr>
        <w:top w:val="none" w:sz="0" w:space="0" w:color="auto"/>
        <w:left w:val="none" w:sz="0" w:space="0" w:color="auto"/>
        <w:bottom w:val="none" w:sz="0" w:space="0" w:color="auto"/>
        <w:right w:val="none" w:sz="0" w:space="0" w:color="auto"/>
      </w:divBdr>
    </w:div>
    <w:div w:id="467746170">
      <w:bodyDiv w:val="1"/>
      <w:marLeft w:val="0"/>
      <w:marRight w:val="0"/>
      <w:marTop w:val="0"/>
      <w:marBottom w:val="0"/>
      <w:divBdr>
        <w:top w:val="none" w:sz="0" w:space="0" w:color="auto"/>
        <w:left w:val="none" w:sz="0" w:space="0" w:color="auto"/>
        <w:bottom w:val="none" w:sz="0" w:space="0" w:color="auto"/>
        <w:right w:val="none" w:sz="0" w:space="0" w:color="auto"/>
      </w:divBdr>
    </w:div>
    <w:div w:id="474224109">
      <w:bodyDiv w:val="1"/>
      <w:marLeft w:val="0"/>
      <w:marRight w:val="0"/>
      <w:marTop w:val="0"/>
      <w:marBottom w:val="0"/>
      <w:divBdr>
        <w:top w:val="none" w:sz="0" w:space="0" w:color="auto"/>
        <w:left w:val="none" w:sz="0" w:space="0" w:color="auto"/>
        <w:bottom w:val="none" w:sz="0" w:space="0" w:color="auto"/>
        <w:right w:val="none" w:sz="0" w:space="0" w:color="auto"/>
      </w:divBdr>
    </w:div>
    <w:div w:id="480391349">
      <w:bodyDiv w:val="1"/>
      <w:marLeft w:val="0"/>
      <w:marRight w:val="0"/>
      <w:marTop w:val="0"/>
      <w:marBottom w:val="0"/>
      <w:divBdr>
        <w:top w:val="none" w:sz="0" w:space="0" w:color="auto"/>
        <w:left w:val="none" w:sz="0" w:space="0" w:color="auto"/>
        <w:bottom w:val="none" w:sz="0" w:space="0" w:color="auto"/>
        <w:right w:val="none" w:sz="0" w:space="0" w:color="auto"/>
      </w:divBdr>
    </w:div>
    <w:div w:id="485318848">
      <w:bodyDiv w:val="1"/>
      <w:marLeft w:val="0"/>
      <w:marRight w:val="0"/>
      <w:marTop w:val="0"/>
      <w:marBottom w:val="0"/>
      <w:divBdr>
        <w:top w:val="none" w:sz="0" w:space="0" w:color="auto"/>
        <w:left w:val="none" w:sz="0" w:space="0" w:color="auto"/>
        <w:bottom w:val="none" w:sz="0" w:space="0" w:color="auto"/>
        <w:right w:val="none" w:sz="0" w:space="0" w:color="auto"/>
      </w:divBdr>
    </w:div>
    <w:div w:id="486670509">
      <w:bodyDiv w:val="1"/>
      <w:marLeft w:val="0"/>
      <w:marRight w:val="0"/>
      <w:marTop w:val="0"/>
      <w:marBottom w:val="0"/>
      <w:divBdr>
        <w:top w:val="none" w:sz="0" w:space="0" w:color="auto"/>
        <w:left w:val="none" w:sz="0" w:space="0" w:color="auto"/>
        <w:bottom w:val="none" w:sz="0" w:space="0" w:color="auto"/>
        <w:right w:val="none" w:sz="0" w:space="0" w:color="auto"/>
      </w:divBdr>
    </w:div>
    <w:div w:id="493617344">
      <w:bodyDiv w:val="1"/>
      <w:marLeft w:val="0"/>
      <w:marRight w:val="0"/>
      <w:marTop w:val="0"/>
      <w:marBottom w:val="0"/>
      <w:divBdr>
        <w:top w:val="none" w:sz="0" w:space="0" w:color="auto"/>
        <w:left w:val="none" w:sz="0" w:space="0" w:color="auto"/>
        <w:bottom w:val="none" w:sz="0" w:space="0" w:color="auto"/>
        <w:right w:val="none" w:sz="0" w:space="0" w:color="auto"/>
      </w:divBdr>
    </w:div>
    <w:div w:id="494804260">
      <w:bodyDiv w:val="1"/>
      <w:marLeft w:val="0"/>
      <w:marRight w:val="0"/>
      <w:marTop w:val="0"/>
      <w:marBottom w:val="0"/>
      <w:divBdr>
        <w:top w:val="none" w:sz="0" w:space="0" w:color="auto"/>
        <w:left w:val="none" w:sz="0" w:space="0" w:color="auto"/>
        <w:bottom w:val="none" w:sz="0" w:space="0" w:color="auto"/>
        <w:right w:val="none" w:sz="0" w:space="0" w:color="auto"/>
      </w:divBdr>
    </w:div>
    <w:div w:id="495075263">
      <w:bodyDiv w:val="1"/>
      <w:marLeft w:val="0"/>
      <w:marRight w:val="0"/>
      <w:marTop w:val="0"/>
      <w:marBottom w:val="0"/>
      <w:divBdr>
        <w:top w:val="none" w:sz="0" w:space="0" w:color="auto"/>
        <w:left w:val="none" w:sz="0" w:space="0" w:color="auto"/>
        <w:bottom w:val="none" w:sz="0" w:space="0" w:color="auto"/>
        <w:right w:val="none" w:sz="0" w:space="0" w:color="auto"/>
      </w:divBdr>
    </w:div>
    <w:div w:id="498424062">
      <w:bodyDiv w:val="1"/>
      <w:marLeft w:val="0"/>
      <w:marRight w:val="0"/>
      <w:marTop w:val="0"/>
      <w:marBottom w:val="0"/>
      <w:divBdr>
        <w:top w:val="none" w:sz="0" w:space="0" w:color="auto"/>
        <w:left w:val="none" w:sz="0" w:space="0" w:color="auto"/>
        <w:bottom w:val="none" w:sz="0" w:space="0" w:color="auto"/>
        <w:right w:val="none" w:sz="0" w:space="0" w:color="auto"/>
      </w:divBdr>
    </w:div>
    <w:div w:id="498545260">
      <w:bodyDiv w:val="1"/>
      <w:marLeft w:val="0"/>
      <w:marRight w:val="0"/>
      <w:marTop w:val="0"/>
      <w:marBottom w:val="0"/>
      <w:divBdr>
        <w:top w:val="none" w:sz="0" w:space="0" w:color="auto"/>
        <w:left w:val="none" w:sz="0" w:space="0" w:color="auto"/>
        <w:bottom w:val="none" w:sz="0" w:space="0" w:color="auto"/>
        <w:right w:val="none" w:sz="0" w:space="0" w:color="auto"/>
      </w:divBdr>
    </w:div>
    <w:div w:id="501118455">
      <w:bodyDiv w:val="1"/>
      <w:marLeft w:val="0"/>
      <w:marRight w:val="0"/>
      <w:marTop w:val="0"/>
      <w:marBottom w:val="0"/>
      <w:divBdr>
        <w:top w:val="none" w:sz="0" w:space="0" w:color="auto"/>
        <w:left w:val="none" w:sz="0" w:space="0" w:color="auto"/>
        <w:bottom w:val="none" w:sz="0" w:space="0" w:color="auto"/>
        <w:right w:val="none" w:sz="0" w:space="0" w:color="auto"/>
      </w:divBdr>
    </w:div>
    <w:div w:id="501509305">
      <w:bodyDiv w:val="1"/>
      <w:marLeft w:val="0"/>
      <w:marRight w:val="0"/>
      <w:marTop w:val="0"/>
      <w:marBottom w:val="0"/>
      <w:divBdr>
        <w:top w:val="none" w:sz="0" w:space="0" w:color="auto"/>
        <w:left w:val="none" w:sz="0" w:space="0" w:color="auto"/>
        <w:bottom w:val="none" w:sz="0" w:space="0" w:color="auto"/>
        <w:right w:val="none" w:sz="0" w:space="0" w:color="auto"/>
      </w:divBdr>
    </w:div>
    <w:div w:id="504521219">
      <w:bodyDiv w:val="1"/>
      <w:marLeft w:val="0"/>
      <w:marRight w:val="0"/>
      <w:marTop w:val="0"/>
      <w:marBottom w:val="0"/>
      <w:divBdr>
        <w:top w:val="none" w:sz="0" w:space="0" w:color="auto"/>
        <w:left w:val="none" w:sz="0" w:space="0" w:color="auto"/>
        <w:bottom w:val="none" w:sz="0" w:space="0" w:color="auto"/>
        <w:right w:val="none" w:sz="0" w:space="0" w:color="auto"/>
      </w:divBdr>
    </w:div>
    <w:div w:id="504980163">
      <w:bodyDiv w:val="1"/>
      <w:marLeft w:val="0"/>
      <w:marRight w:val="0"/>
      <w:marTop w:val="0"/>
      <w:marBottom w:val="0"/>
      <w:divBdr>
        <w:top w:val="none" w:sz="0" w:space="0" w:color="auto"/>
        <w:left w:val="none" w:sz="0" w:space="0" w:color="auto"/>
        <w:bottom w:val="none" w:sz="0" w:space="0" w:color="auto"/>
        <w:right w:val="none" w:sz="0" w:space="0" w:color="auto"/>
      </w:divBdr>
    </w:div>
    <w:div w:id="508909901">
      <w:bodyDiv w:val="1"/>
      <w:marLeft w:val="0"/>
      <w:marRight w:val="0"/>
      <w:marTop w:val="0"/>
      <w:marBottom w:val="0"/>
      <w:divBdr>
        <w:top w:val="none" w:sz="0" w:space="0" w:color="auto"/>
        <w:left w:val="none" w:sz="0" w:space="0" w:color="auto"/>
        <w:bottom w:val="none" w:sz="0" w:space="0" w:color="auto"/>
        <w:right w:val="none" w:sz="0" w:space="0" w:color="auto"/>
      </w:divBdr>
    </w:div>
    <w:div w:id="509762109">
      <w:bodyDiv w:val="1"/>
      <w:marLeft w:val="0"/>
      <w:marRight w:val="0"/>
      <w:marTop w:val="0"/>
      <w:marBottom w:val="0"/>
      <w:divBdr>
        <w:top w:val="none" w:sz="0" w:space="0" w:color="auto"/>
        <w:left w:val="none" w:sz="0" w:space="0" w:color="auto"/>
        <w:bottom w:val="none" w:sz="0" w:space="0" w:color="auto"/>
        <w:right w:val="none" w:sz="0" w:space="0" w:color="auto"/>
      </w:divBdr>
    </w:div>
    <w:div w:id="513765749">
      <w:bodyDiv w:val="1"/>
      <w:marLeft w:val="0"/>
      <w:marRight w:val="0"/>
      <w:marTop w:val="0"/>
      <w:marBottom w:val="0"/>
      <w:divBdr>
        <w:top w:val="none" w:sz="0" w:space="0" w:color="auto"/>
        <w:left w:val="none" w:sz="0" w:space="0" w:color="auto"/>
        <w:bottom w:val="none" w:sz="0" w:space="0" w:color="auto"/>
        <w:right w:val="none" w:sz="0" w:space="0" w:color="auto"/>
      </w:divBdr>
    </w:div>
    <w:div w:id="514227710">
      <w:bodyDiv w:val="1"/>
      <w:marLeft w:val="0"/>
      <w:marRight w:val="0"/>
      <w:marTop w:val="0"/>
      <w:marBottom w:val="0"/>
      <w:divBdr>
        <w:top w:val="none" w:sz="0" w:space="0" w:color="auto"/>
        <w:left w:val="none" w:sz="0" w:space="0" w:color="auto"/>
        <w:bottom w:val="none" w:sz="0" w:space="0" w:color="auto"/>
        <w:right w:val="none" w:sz="0" w:space="0" w:color="auto"/>
      </w:divBdr>
    </w:div>
    <w:div w:id="514349497">
      <w:bodyDiv w:val="1"/>
      <w:marLeft w:val="0"/>
      <w:marRight w:val="0"/>
      <w:marTop w:val="0"/>
      <w:marBottom w:val="0"/>
      <w:divBdr>
        <w:top w:val="none" w:sz="0" w:space="0" w:color="auto"/>
        <w:left w:val="none" w:sz="0" w:space="0" w:color="auto"/>
        <w:bottom w:val="none" w:sz="0" w:space="0" w:color="auto"/>
        <w:right w:val="none" w:sz="0" w:space="0" w:color="auto"/>
      </w:divBdr>
    </w:div>
    <w:div w:id="519123820">
      <w:bodyDiv w:val="1"/>
      <w:marLeft w:val="0"/>
      <w:marRight w:val="0"/>
      <w:marTop w:val="0"/>
      <w:marBottom w:val="0"/>
      <w:divBdr>
        <w:top w:val="none" w:sz="0" w:space="0" w:color="auto"/>
        <w:left w:val="none" w:sz="0" w:space="0" w:color="auto"/>
        <w:bottom w:val="none" w:sz="0" w:space="0" w:color="auto"/>
        <w:right w:val="none" w:sz="0" w:space="0" w:color="auto"/>
      </w:divBdr>
    </w:div>
    <w:div w:id="527186472">
      <w:bodyDiv w:val="1"/>
      <w:marLeft w:val="0"/>
      <w:marRight w:val="0"/>
      <w:marTop w:val="0"/>
      <w:marBottom w:val="0"/>
      <w:divBdr>
        <w:top w:val="none" w:sz="0" w:space="0" w:color="auto"/>
        <w:left w:val="none" w:sz="0" w:space="0" w:color="auto"/>
        <w:bottom w:val="none" w:sz="0" w:space="0" w:color="auto"/>
        <w:right w:val="none" w:sz="0" w:space="0" w:color="auto"/>
      </w:divBdr>
    </w:div>
    <w:div w:id="527303415">
      <w:bodyDiv w:val="1"/>
      <w:marLeft w:val="0"/>
      <w:marRight w:val="0"/>
      <w:marTop w:val="0"/>
      <w:marBottom w:val="0"/>
      <w:divBdr>
        <w:top w:val="none" w:sz="0" w:space="0" w:color="auto"/>
        <w:left w:val="none" w:sz="0" w:space="0" w:color="auto"/>
        <w:bottom w:val="none" w:sz="0" w:space="0" w:color="auto"/>
        <w:right w:val="none" w:sz="0" w:space="0" w:color="auto"/>
      </w:divBdr>
    </w:div>
    <w:div w:id="534076822">
      <w:bodyDiv w:val="1"/>
      <w:marLeft w:val="0"/>
      <w:marRight w:val="0"/>
      <w:marTop w:val="0"/>
      <w:marBottom w:val="0"/>
      <w:divBdr>
        <w:top w:val="none" w:sz="0" w:space="0" w:color="auto"/>
        <w:left w:val="none" w:sz="0" w:space="0" w:color="auto"/>
        <w:bottom w:val="none" w:sz="0" w:space="0" w:color="auto"/>
        <w:right w:val="none" w:sz="0" w:space="0" w:color="auto"/>
      </w:divBdr>
    </w:div>
    <w:div w:id="537856530">
      <w:bodyDiv w:val="1"/>
      <w:marLeft w:val="0"/>
      <w:marRight w:val="0"/>
      <w:marTop w:val="0"/>
      <w:marBottom w:val="0"/>
      <w:divBdr>
        <w:top w:val="none" w:sz="0" w:space="0" w:color="auto"/>
        <w:left w:val="none" w:sz="0" w:space="0" w:color="auto"/>
        <w:bottom w:val="none" w:sz="0" w:space="0" w:color="auto"/>
        <w:right w:val="none" w:sz="0" w:space="0" w:color="auto"/>
      </w:divBdr>
    </w:div>
    <w:div w:id="538324770">
      <w:bodyDiv w:val="1"/>
      <w:marLeft w:val="0"/>
      <w:marRight w:val="0"/>
      <w:marTop w:val="0"/>
      <w:marBottom w:val="0"/>
      <w:divBdr>
        <w:top w:val="none" w:sz="0" w:space="0" w:color="auto"/>
        <w:left w:val="none" w:sz="0" w:space="0" w:color="auto"/>
        <w:bottom w:val="none" w:sz="0" w:space="0" w:color="auto"/>
        <w:right w:val="none" w:sz="0" w:space="0" w:color="auto"/>
      </w:divBdr>
    </w:div>
    <w:div w:id="540675525">
      <w:bodyDiv w:val="1"/>
      <w:marLeft w:val="0"/>
      <w:marRight w:val="0"/>
      <w:marTop w:val="0"/>
      <w:marBottom w:val="0"/>
      <w:divBdr>
        <w:top w:val="none" w:sz="0" w:space="0" w:color="auto"/>
        <w:left w:val="none" w:sz="0" w:space="0" w:color="auto"/>
        <w:bottom w:val="none" w:sz="0" w:space="0" w:color="auto"/>
        <w:right w:val="none" w:sz="0" w:space="0" w:color="auto"/>
      </w:divBdr>
    </w:div>
    <w:div w:id="551845061">
      <w:bodyDiv w:val="1"/>
      <w:marLeft w:val="0"/>
      <w:marRight w:val="0"/>
      <w:marTop w:val="0"/>
      <w:marBottom w:val="0"/>
      <w:divBdr>
        <w:top w:val="none" w:sz="0" w:space="0" w:color="auto"/>
        <w:left w:val="none" w:sz="0" w:space="0" w:color="auto"/>
        <w:bottom w:val="none" w:sz="0" w:space="0" w:color="auto"/>
        <w:right w:val="none" w:sz="0" w:space="0" w:color="auto"/>
      </w:divBdr>
    </w:div>
    <w:div w:id="552354619">
      <w:bodyDiv w:val="1"/>
      <w:marLeft w:val="0"/>
      <w:marRight w:val="0"/>
      <w:marTop w:val="0"/>
      <w:marBottom w:val="0"/>
      <w:divBdr>
        <w:top w:val="none" w:sz="0" w:space="0" w:color="auto"/>
        <w:left w:val="none" w:sz="0" w:space="0" w:color="auto"/>
        <w:bottom w:val="none" w:sz="0" w:space="0" w:color="auto"/>
        <w:right w:val="none" w:sz="0" w:space="0" w:color="auto"/>
      </w:divBdr>
    </w:div>
    <w:div w:id="559902929">
      <w:bodyDiv w:val="1"/>
      <w:marLeft w:val="0"/>
      <w:marRight w:val="0"/>
      <w:marTop w:val="0"/>
      <w:marBottom w:val="0"/>
      <w:divBdr>
        <w:top w:val="none" w:sz="0" w:space="0" w:color="auto"/>
        <w:left w:val="none" w:sz="0" w:space="0" w:color="auto"/>
        <w:bottom w:val="none" w:sz="0" w:space="0" w:color="auto"/>
        <w:right w:val="none" w:sz="0" w:space="0" w:color="auto"/>
      </w:divBdr>
    </w:div>
    <w:div w:id="561986548">
      <w:bodyDiv w:val="1"/>
      <w:marLeft w:val="0"/>
      <w:marRight w:val="0"/>
      <w:marTop w:val="0"/>
      <w:marBottom w:val="0"/>
      <w:divBdr>
        <w:top w:val="none" w:sz="0" w:space="0" w:color="auto"/>
        <w:left w:val="none" w:sz="0" w:space="0" w:color="auto"/>
        <w:bottom w:val="none" w:sz="0" w:space="0" w:color="auto"/>
        <w:right w:val="none" w:sz="0" w:space="0" w:color="auto"/>
      </w:divBdr>
    </w:div>
    <w:div w:id="562564328">
      <w:bodyDiv w:val="1"/>
      <w:marLeft w:val="0"/>
      <w:marRight w:val="0"/>
      <w:marTop w:val="0"/>
      <w:marBottom w:val="0"/>
      <w:divBdr>
        <w:top w:val="none" w:sz="0" w:space="0" w:color="auto"/>
        <w:left w:val="none" w:sz="0" w:space="0" w:color="auto"/>
        <w:bottom w:val="none" w:sz="0" w:space="0" w:color="auto"/>
        <w:right w:val="none" w:sz="0" w:space="0" w:color="auto"/>
      </w:divBdr>
    </w:div>
    <w:div w:id="563301304">
      <w:bodyDiv w:val="1"/>
      <w:marLeft w:val="0"/>
      <w:marRight w:val="0"/>
      <w:marTop w:val="0"/>
      <w:marBottom w:val="0"/>
      <w:divBdr>
        <w:top w:val="none" w:sz="0" w:space="0" w:color="auto"/>
        <w:left w:val="none" w:sz="0" w:space="0" w:color="auto"/>
        <w:bottom w:val="none" w:sz="0" w:space="0" w:color="auto"/>
        <w:right w:val="none" w:sz="0" w:space="0" w:color="auto"/>
      </w:divBdr>
    </w:div>
    <w:div w:id="578516023">
      <w:bodyDiv w:val="1"/>
      <w:marLeft w:val="0"/>
      <w:marRight w:val="0"/>
      <w:marTop w:val="0"/>
      <w:marBottom w:val="0"/>
      <w:divBdr>
        <w:top w:val="none" w:sz="0" w:space="0" w:color="auto"/>
        <w:left w:val="none" w:sz="0" w:space="0" w:color="auto"/>
        <w:bottom w:val="none" w:sz="0" w:space="0" w:color="auto"/>
        <w:right w:val="none" w:sz="0" w:space="0" w:color="auto"/>
      </w:divBdr>
    </w:div>
    <w:div w:id="578950115">
      <w:bodyDiv w:val="1"/>
      <w:marLeft w:val="0"/>
      <w:marRight w:val="0"/>
      <w:marTop w:val="0"/>
      <w:marBottom w:val="0"/>
      <w:divBdr>
        <w:top w:val="none" w:sz="0" w:space="0" w:color="auto"/>
        <w:left w:val="none" w:sz="0" w:space="0" w:color="auto"/>
        <w:bottom w:val="none" w:sz="0" w:space="0" w:color="auto"/>
        <w:right w:val="none" w:sz="0" w:space="0" w:color="auto"/>
      </w:divBdr>
    </w:div>
    <w:div w:id="581138639">
      <w:bodyDiv w:val="1"/>
      <w:marLeft w:val="0"/>
      <w:marRight w:val="0"/>
      <w:marTop w:val="0"/>
      <w:marBottom w:val="0"/>
      <w:divBdr>
        <w:top w:val="none" w:sz="0" w:space="0" w:color="auto"/>
        <w:left w:val="none" w:sz="0" w:space="0" w:color="auto"/>
        <w:bottom w:val="none" w:sz="0" w:space="0" w:color="auto"/>
        <w:right w:val="none" w:sz="0" w:space="0" w:color="auto"/>
      </w:divBdr>
    </w:div>
    <w:div w:id="583028425">
      <w:bodyDiv w:val="1"/>
      <w:marLeft w:val="0"/>
      <w:marRight w:val="0"/>
      <w:marTop w:val="0"/>
      <w:marBottom w:val="0"/>
      <w:divBdr>
        <w:top w:val="none" w:sz="0" w:space="0" w:color="auto"/>
        <w:left w:val="none" w:sz="0" w:space="0" w:color="auto"/>
        <w:bottom w:val="none" w:sz="0" w:space="0" w:color="auto"/>
        <w:right w:val="none" w:sz="0" w:space="0" w:color="auto"/>
      </w:divBdr>
    </w:div>
    <w:div w:id="588999472">
      <w:bodyDiv w:val="1"/>
      <w:marLeft w:val="0"/>
      <w:marRight w:val="0"/>
      <w:marTop w:val="0"/>
      <w:marBottom w:val="0"/>
      <w:divBdr>
        <w:top w:val="none" w:sz="0" w:space="0" w:color="auto"/>
        <w:left w:val="none" w:sz="0" w:space="0" w:color="auto"/>
        <w:bottom w:val="none" w:sz="0" w:space="0" w:color="auto"/>
        <w:right w:val="none" w:sz="0" w:space="0" w:color="auto"/>
      </w:divBdr>
    </w:div>
    <w:div w:id="589002814">
      <w:bodyDiv w:val="1"/>
      <w:marLeft w:val="0"/>
      <w:marRight w:val="0"/>
      <w:marTop w:val="0"/>
      <w:marBottom w:val="0"/>
      <w:divBdr>
        <w:top w:val="none" w:sz="0" w:space="0" w:color="auto"/>
        <w:left w:val="none" w:sz="0" w:space="0" w:color="auto"/>
        <w:bottom w:val="none" w:sz="0" w:space="0" w:color="auto"/>
        <w:right w:val="none" w:sz="0" w:space="0" w:color="auto"/>
      </w:divBdr>
    </w:div>
    <w:div w:id="590309656">
      <w:bodyDiv w:val="1"/>
      <w:marLeft w:val="0"/>
      <w:marRight w:val="0"/>
      <w:marTop w:val="0"/>
      <w:marBottom w:val="0"/>
      <w:divBdr>
        <w:top w:val="none" w:sz="0" w:space="0" w:color="auto"/>
        <w:left w:val="none" w:sz="0" w:space="0" w:color="auto"/>
        <w:bottom w:val="none" w:sz="0" w:space="0" w:color="auto"/>
        <w:right w:val="none" w:sz="0" w:space="0" w:color="auto"/>
      </w:divBdr>
    </w:div>
    <w:div w:id="602345577">
      <w:bodyDiv w:val="1"/>
      <w:marLeft w:val="0"/>
      <w:marRight w:val="0"/>
      <w:marTop w:val="0"/>
      <w:marBottom w:val="0"/>
      <w:divBdr>
        <w:top w:val="none" w:sz="0" w:space="0" w:color="auto"/>
        <w:left w:val="none" w:sz="0" w:space="0" w:color="auto"/>
        <w:bottom w:val="none" w:sz="0" w:space="0" w:color="auto"/>
        <w:right w:val="none" w:sz="0" w:space="0" w:color="auto"/>
      </w:divBdr>
    </w:div>
    <w:div w:id="602764212">
      <w:bodyDiv w:val="1"/>
      <w:marLeft w:val="0"/>
      <w:marRight w:val="0"/>
      <w:marTop w:val="0"/>
      <w:marBottom w:val="0"/>
      <w:divBdr>
        <w:top w:val="none" w:sz="0" w:space="0" w:color="auto"/>
        <w:left w:val="none" w:sz="0" w:space="0" w:color="auto"/>
        <w:bottom w:val="none" w:sz="0" w:space="0" w:color="auto"/>
        <w:right w:val="none" w:sz="0" w:space="0" w:color="auto"/>
      </w:divBdr>
    </w:div>
    <w:div w:id="603726552">
      <w:bodyDiv w:val="1"/>
      <w:marLeft w:val="0"/>
      <w:marRight w:val="0"/>
      <w:marTop w:val="0"/>
      <w:marBottom w:val="0"/>
      <w:divBdr>
        <w:top w:val="none" w:sz="0" w:space="0" w:color="auto"/>
        <w:left w:val="none" w:sz="0" w:space="0" w:color="auto"/>
        <w:bottom w:val="none" w:sz="0" w:space="0" w:color="auto"/>
        <w:right w:val="none" w:sz="0" w:space="0" w:color="auto"/>
      </w:divBdr>
    </w:div>
    <w:div w:id="604919315">
      <w:bodyDiv w:val="1"/>
      <w:marLeft w:val="0"/>
      <w:marRight w:val="0"/>
      <w:marTop w:val="0"/>
      <w:marBottom w:val="0"/>
      <w:divBdr>
        <w:top w:val="none" w:sz="0" w:space="0" w:color="auto"/>
        <w:left w:val="none" w:sz="0" w:space="0" w:color="auto"/>
        <w:bottom w:val="none" w:sz="0" w:space="0" w:color="auto"/>
        <w:right w:val="none" w:sz="0" w:space="0" w:color="auto"/>
      </w:divBdr>
    </w:div>
    <w:div w:id="606623505">
      <w:bodyDiv w:val="1"/>
      <w:marLeft w:val="0"/>
      <w:marRight w:val="0"/>
      <w:marTop w:val="0"/>
      <w:marBottom w:val="0"/>
      <w:divBdr>
        <w:top w:val="none" w:sz="0" w:space="0" w:color="auto"/>
        <w:left w:val="none" w:sz="0" w:space="0" w:color="auto"/>
        <w:bottom w:val="none" w:sz="0" w:space="0" w:color="auto"/>
        <w:right w:val="none" w:sz="0" w:space="0" w:color="auto"/>
      </w:divBdr>
    </w:div>
    <w:div w:id="611476477">
      <w:bodyDiv w:val="1"/>
      <w:marLeft w:val="0"/>
      <w:marRight w:val="0"/>
      <w:marTop w:val="0"/>
      <w:marBottom w:val="0"/>
      <w:divBdr>
        <w:top w:val="none" w:sz="0" w:space="0" w:color="auto"/>
        <w:left w:val="none" w:sz="0" w:space="0" w:color="auto"/>
        <w:bottom w:val="none" w:sz="0" w:space="0" w:color="auto"/>
        <w:right w:val="none" w:sz="0" w:space="0" w:color="auto"/>
      </w:divBdr>
    </w:div>
    <w:div w:id="615529407">
      <w:bodyDiv w:val="1"/>
      <w:marLeft w:val="0"/>
      <w:marRight w:val="0"/>
      <w:marTop w:val="0"/>
      <w:marBottom w:val="0"/>
      <w:divBdr>
        <w:top w:val="none" w:sz="0" w:space="0" w:color="auto"/>
        <w:left w:val="none" w:sz="0" w:space="0" w:color="auto"/>
        <w:bottom w:val="none" w:sz="0" w:space="0" w:color="auto"/>
        <w:right w:val="none" w:sz="0" w:space="0" w:color="auto"/>
      </w:divBdr>
    </w:div>
    <w:div w:id="620039243">
      <w:bodyDiv w:val="1"/>
      <w:marLeft w:val="0"/>
      <w:marRight w:val="0"/>
      <w:marTop w:val="0"/>
      <w:marBottom w:val="0"/>
      <w:divBdr>
        <w:top w:val="none" w:sz="0" w:space="0" w:color="auto"/>
        <w:left w:val="none" w:sz="0" w:space="0" w:color="auto"/>
        <w:bottom w:val="none" w:sz="0" w:space="0" w:color="auto"/>
        <w:right w:val="none" w:sz="0" w:space="0" w:color="auto"/>
      </w:divBdr>
    </w:div>
    <w:div w:id="621111382">
      <w:bodyDiv w:val="1"/>
      <w:marLeft w:val="0"/>
      <w:marRight w:val="0"/>
      <w:marTop w:val="0"/>
      <w:marBottom w:val="0"/>
      <w:divBdr>
        <w:top w:val="none" w:sz="0" w:space="0" w:color="auto"/>
        <w:left w:val="none" w:sz="0" w:space="0" w:color="auto"/>
        <w:bottom w:val="none" w:sz="0" w:space="0" w:color="auto"/>
        <w:right w:val="none" w:sz="0" w:space="0" w:color="auto"/>
      </w:divBdr>
    </w:div>
    <w:div w:id="625549927">
      <w:bodyDiv w:val="1"/>
      <w:marLeft w:val="0"/>
      <w:marRight w:val="0"/>
      <w:marTop w:val="0"/>
      <w:marBottom w:val="0"/>
      <w:divBdr>
        <w:top w:val="none" w:sz="0" w:space="0" w:color="auto"/>
        <w:left w:val="none" w:sz="0" w:space="0" w:color="auto"/>
        <w:bottom w:val="none" w:sz="0" w:space="0" w:color="auto"/>
        <w:right w:val="none" w:sz="0" w:space="0" w:color="auto"/>
      </w:divBdr>
    </w:div>
    <w:div w:id="630984371">
      <w:bodyDiv w:val="1"/>
      <w:marLeft w:val="0"/>
      <w:marRight w:val="0"/>
      <w:marTop w:val="0"/>
      <w:marBottom w:val="0"/>
      <w:divBdr>
        <w:top w:val="none" w:sz="0" w:space="0" w:color="auto"/>
        <w:left w:val="none" w:sz="0" w:space="0" w:color="auto"/>
        <w:bottom w:val="none" w:sz="0" w:space="0" w:color="auto"/>
        <w:right w:val="none" w:sz="0" w:space="0" w:color="auto"/>
      </w:divBdr>
    </w:div>
    <w:div w:id="633558468">
      <w:bodyDiv w:val="1"/>
      <w:marLeft w:val="0"/>
      <w:marRight w:val="0"/>
      <w:marTop w:val="0"/>
      <w:marBottom w:val="0"/>
      <w:divBdr>
        <w:top w:val="none" w:sz="0" w:space="0" w:color="auto"/>
        <w:left w:val="none" w:sz="0" w:space="0" w:color="auto"/>
        <w:bottom w:val="none" w:sz="0" w:space="0" w:color="auto"/>
        <w:right w:val="none" w:sz="0" w:space="0" w:color="auto"/>
      </w:divBdr>
    </w:div>
    <w:div w:id="648050304">
      <w:bodyDiv w:val="1"/>
      <w:marLeft w:val="0"/>
      <w:marRight w:val="0"/>
      <w:marTop w:val="0"/>
      <w:marBottom w:val="0"/>
      <w:divBdr>
        <w:top w:val="none" w:sz="0" w:space="0" w:color="auto"/>
        <w:left w:val="none" w:sz="0" w:space="0" w:color="auto"/>
        <w:bottom w:val="none" w:sz="0" w:space="0" w:color="auto"/>
        <w:right w:val="none" w:sz="0" w:space="0" w:color="auto"/>
      </w:divBdr>
    </w:div>
    <w:div w:id="656228678">
      <w:bodyDiv w:val="1"/>
      <w:marLeft w:val="0"/>
      <w:marRight w:val="0"/>
      <w:marTop w:val="0"/>
      <w:marBottom w:val="0"/>
      <w:divBdr>
        <w:top w:val="none" w:sz="0" w:space="0" w:color="auto"/>
        <w:left w:val="none" w:sz="0" w:space="0" w:color="auto"/>
        <w:bottom w:val="none" w:sz="0" w:space="0" w:color="auto"/>
        <w:right w:val="none" w:sz="0" w:space="0" w:color="auto"/>
      </w:divBdr>
    </w:div>
    <w:div w:id="656694138">
      <w:bodyDiv w:val="1"/>
      <w:marLeft w:val="0"/>
      <w:marRight w:val="0"/>
      <w:marTop w:val="0"/>
      <w:marBottom w:val="0"/>
      <w:divBdr>
        <w:top w:val="none" w:sz="0" w:space="0" w:color="auto"/>
        <w:left w:val="none" w:sz="0" w:space="0" w:color="auto"/>
        <w:bottom w:val="none" w:sz="0" w:space="0" w:color="auto"/>
        <w:right w:val="none" w:sz="0" w:space="0" w:color="auto"/>
      </w:divBdr>
    </w:div>
    <w:div w:id="658730110">
      <w:bodyDiv w:val="1"/>
      <w:marLeft w:val="0"/>
      <w:marRight w:val="0"/>
      <w:marTop w:val="0"/>
      <w:marBottom w:val="0"/>
      <w:divBdr>
        <w:top w:val="none" w:sz="0" w:space="0" w:color="auto"/>
        <w:left w:val="none" w:sz="0" w:space="0" w:color="auto"/>
        <w:bottom w:val="none" w:sz="0" w:space="0" w:color="auto"/>
        <w:right w:val="none" w:sz="0" w:space="0" w:color="auto"/>
      </w:divBdr>
    </w:div>
    <w:div w:id="662513168">
      <w:bodyDiv w:val="1"/>
      <w:marLeft w:val="0"/>
      <w:marRight w:val="0"/>
      <w:marTop w:val="0"/>
      <w:marBottom w:val="0"/>
      <w:divBdr>
        <w:top w:val="none" w:sz="0" w:space="0" w:color="auto"/>
        <w:left w:val="none" w:sz="0" w:space="0" w:color="auto"/>
        <w:bottom w:val="none" w:sz="0" w:space="0" w:color="auto"/>
        <w:right w:val="none" w:sz="0" w:space="0" w:color="auto"/>
      </w:divBdr>
    </w:div>
    <w:div w:id="664824847">
      <w:bodyDiv w:val="1"/>
      <w:marLeft w:val="0"/>
      <w:marRight w:val="0"/>
      <w:marTop w:val="0"/>
      <w:marBottom w:val="0"/>
      <w:divBdr>
        <w:top w:val="none" w:sz="0" w:space="0" w:color="auto"/>
        <w:left w:val="none" w:sz="0" w:space="0" w:color="auto"/>
        <w:bottom w:val="none" w:sz="0" w:space="0" w:color="auto"/>
        <w:right w:val="none" w:sz="0" w:space="0" w:color="auto"/>
      </w:divBdr>
    </w:div>
    <w:div w:id="677118309">
      <w:bodyDiv w:val="1"/>
      <w:marLeft w:val="0"/>
      <w:marRight w:val="0"/>
      <w:marTop w:val="0"/>
      <w:marBottom w:val="0"/>
      <w:divBdr>
        <w:top w:val="none" w:sz="0" w:space="0" w:color="auto"/>
        <w:left w:val="none" w:sz="0" w:space="0" w:color="auto"/>
        <w:bottom w:val="none" w:sz="0" w:space="0" w:color="auto"/>
        <w:right w:val="none" w:sz="0" w:space="0" w:color="auto"/>
      </w:divBdr>
    </w:div>
    <w:div w:id="684480169">
      <w:bodyDiv w:val="1"/>
      <w:marLeft w:val="0"/>
      <w:marRight w:val="0"/>
      <w:marTop w:val="0"/>
      <w:marBottom w:val="0"/>
      <w:divBdr>
        <w:top w:val="none" w:sz="0" w:space="0" w:color="auto"/>
        <w:left w:val="none" w:sz="0" w:space="0" w:color="auto"/>
        <w:bottom w:val="none" w:sz="0" w:space="0" w:color="auto"/>
        <w:right w:val="none" w:sz="0" w:space="0" w:color="auto"/>
      </w:divBdr>
    </w:div>
    <w:div w:id="688222709">
      <w:bodyDiv w:val="1"/>
      <w:marLeft w:val="0"/>
      <w:marRight w:val="0"/>
      <w:marTop w:val="0"/>
      <w:marBottom w:val="0"/>
      <w:divBdr>
        <w:top w:val="none" w:sz="0" w:space="0" w:color="auto"/>
        <w:left w:val="none" w:sz="0" w:space="0" w:color="auto"/>
        <w:bottom w:val="none" w:sz="0" w:space="0" w:color="auto"/>
        <w:right w:val="none" w:sz="0" w:space="0" w:color="auto"/>
      </w:divBdr>
    </w:div>
    <w:div w:id="690187976">
      <w:bodyDiv w:val="1"/>
      <w:marLeft w:val="0"/>
      <w:marRight w:val="0"/>
      <w:marTop w:val="0"/>
      <w:marBottom w:val="0"/>
      <w:divBdr>
        <w:top w:val="none" w:sz="0" w:space="0" w:color="auto"/>
        <w:left w:val="none" w:sz="0" w:space="0" w:color="auto"/>
        <w:bottom w:val="none" w:sz="0" w:space="0" w:color="auto"/>
        <w:right w:val="none" w:sz="0" w:space="0" w:color="auto"/>
      </w:divBdr>
    </w:div>
    <w:div w:id="692609332">
      <w:bodyDiv w:val="1"/>
      <w:marLeft w:val="0"/>
      <w:marRight w:val="0"/>
      <w:marTop w:val="0"/>
      <w:marBottom w:val="0"/>
      <w:divBdr>
        <w:top w:val="none" w:sz="0" w:space="0" w:color="auto"/>
        <w:left w:val="none" w:sz="0" w:space="0" w:color="auto"/>
        <w:bottom w:val="none" w:sz="0" w:space="0" w:color="auto"/>
        <w:right w:val="none" w:sz="0" w:space="0" w:color="auto"/>
      </w:divBdr>
    </w:div>
    <w:div w:id="713234010">
      <w:bodyDiv w:val="1"/>
      <w:marLeft w:val="0"/>
      <w:marRight w:val="0"/>
      <w:marTop w:val="0"/>
      <w:marBottom w:val="0"/>
      <w:divBdr>
        <w:top w:val="none" w:sz="0" w:space="0" w:color="auto"/>
        <w:left w:val="none" w:sz="0" w:space="0" w:color="auto"/>
        <w:bottom w:val="none" w:sz="0" w:space="0" w:color="auto"/>
        <w:right w:val="none" w:sz="0" w:space="0" w:color="auto"/>
      </w:divBdr>
    </w:div>
    <w:div w:id="716009439">
      <w:bodyDiv w:val="1"/>
      <w:marLeft w:val="0"/>
      <w:marRight w:val="0"/>
      <w:marTop w:val="0"/>
      <w:marBottom w:val="0"/>
      <w:divBdr>
        <w:top w:val="none" w:sz="0" w:space="0" w:color="auto"/>
        <w:left w:val="none" w:sz="0" w:space="0" w:color="auto"/>
        <w:bottom w:val="none" w:sz="0" w:space="0" w:color="auto"/>
        <w:right w:val="none" w:sz="0" w:space="0" w:color="auto"/>
      </w:divBdr>
    </w:div>
    <w:div w:id="721294559">
      <w:bodyDiv w:val="1"/>
      <w:marLeft w:val="0"/>
      <w:marRight w:val="0"/>
      <w:marTop w:val="0"/>
      <w:marBottom w:val="0"/>
      <w:divBdr>
        <w:top w:val="none" w:sz="0" w:space="0" w:color="auto"/>
        <w:left w:val="none" w:sz="0" w:space="0" w:color="auto"/>
        <w:bottom w:val="none" w:sz="0" w:space="0" w:color="auto"/>
        <w:right w:val="none" w:sz="0" w:space="0" w:color="auto"/>
      </w:divBdr>
    </w:div>
    <w:div w:id="726147222">
      <w:bodyDiv w:val="1"/>
      <w:marLeft w:val="0"/>
      <w:marRight w:val="0"/>
      <w:marTop w:val="0"/>
      <w:marBottom w:val="0"/>
      <w:divBdr>
        <w:top w:val="none" w:sz="0" w:space="0" w:color="auto"/>
        <w:left w:val="none" w:sz="0" w:space="0" w:color="auto"/>
        <w:bottom w:val="none" w:sz="0" w:space="0" w:color="auto"/>
        <w:right w:val="none" w:sz="0" w:space="0" w:color="auto"/>
      </w:divBdr>
    </w:div>
    <w:div w:id="728380922">
      <w:bodyDiv w:val="1"/>
      <w:marLeft w:val="0"/>
      <w:marRight w:val="0"/>
      <w:marTop w:val="0"/>
      <w:marBottom w:val="0"/>
      <w:divBdr>
        <w:top w:val="none" w:sz="0" w:space="0" w:color="auto"/>
        <w:left w:val="none" w:sz="0" w:space="0" w:color="auto"/>
        <w:bottom w:val="none" w:sz="0" w:space="0" w:color="auto"/>
        <w:right w:val="none" w:sz="0" w:space="0" w:color="auto"/>
      </w:divBdr>
    </w:div>
    <w:div w:id="732894920">
      <w:bodyDiv w:val="1"/>
      <w:marLeft w:val="0"/>
      <w:marRight w:val="0"/>
      <w:marTop w:val="0"/>
      <w:marBottom w:val="0"/>
      <w:divBdr>
        <w:top w:val="none" w:sz="0" w:space="0" w:color="auto"/>
        <w:left w:val="none" w:sz="0" w:space="0" w:color="auto"/>
        <w:bottom w:val="none" w:sz="0" w:space="0" w:color="auto"/>
        <w:right w:val="none" w:sz="0" w:space="0" w:color="auto"/>
      </w:divBdr>
    </w:div>
    <w:div w:id="743261411">
      <w:bodyDiv w:val="1"/>
      <w:marLeft w:val="0"/>
      <w:marRight w:val="0"/>
      <w:marTop w:val="0"/>
      <w:marBottom w:val="0"/>
      <w:divBdr>
        <w:top w:val="none" w:sz="0" w:space="0" w:color="auto"/>
        <w:left w:val="none" w:sz="0" w:space="0" w:color="auto"/>
        <w:bottom w:val="none" w:sz="0" w:space="0" w:color="auto"/>
        <w:right w:val="none" w:sz="0" w:space="0" w:color="auto"/>
      </w:divBdr>
    </w:div>
    <w:div w:id="746078375">
      <w:bodyDiv w:val="1"/>
      <w:marLeft w:val="0"/>
      <w:marRight w:val="0"/>
      <w:marTop w:val="0"/>
      <w:marBottom w:val="0"/>
      <w:divBdr>
        <w:top w:val="none" w:sz="0" w:space="0" w:color="auto"/>
        <w:left w:val="none" w:sz="0" w:space="0" w:color="auto"/>
        <w:bottom w:val="none" w:sz="0" w:space="0" w:color="auto"/>
        <w:right w:val="none" w:sz="0" w:space="0" w:color="auto"/>
      </w:divBdr>
    </w:div>
    <w:div w:id="746466197">
      <w:bodyDiv w:val="1"/>
      <w:marLeft w:val="0"/>
      <w:marRight w:val="0"/>
      <w:marTop w:val="0"/>
      <w:marBottom w:val="0"/>
      <w:divBdr>
        <w:top w:val="none" w:sz="0" w:space="0" w:color="auto"/>
        <w:left w:val="none" w:sz="0" w:space="0" w:color="auto"/>
        <w:bottom w:val="none" w:sz="0" w:space="0" w:color="auto"/>
        <w:right w:val="none" w:sz="0" w:space="0" w:color="auto"/>
      </w:divBdr>
    </w:div>
    <w:div w:id="748039921">
      <w:bodyDiv w:val="1"/>
      <w:marLeft w:val="0"/>
      <w:marRight w:val="0"/>
      <w:marTop w:val="0"/>
      <w:marBottom w:val="0"/>
      <w:divBdr>
        <w:top w:val="none" w:sz="0" w:space="0" w:color="auto"/>
        <w:left w:val="none" w:sz="0" w:space="0" w:color="auto"/>
        <w:bottom w:val="none" w:sz="0" w:space="0" w:color="auto"/>
        <w:right w:val="none" w:sz="0" w:space="0" w:color="auto"/>
      </w:divBdr>
    </w:div>
    <w:div w:id="752435804">
      <w:bodyDiv w:val="1"/>
      <w:marLeft w:val="0"/>
      <w:marRight w:val="0"/>
      <w:marTop w:val="0"/>
      <w:marBottom w:val="0"/>
      <w:divBdr>
        <w:top w:val="none" w:sz="0" w:space="0" w:color="auto"/>
        <w:left w:val="none" w:sz="0" w:space="0" w:color="auto"/>
        <w:bottom w:val="none" w:sz="0" w:space="0" w:color="auto"/>
        <w:right w:val="none" w:sz="0" w:space="0" w:color="auto"/>
      </w:divBdr>
    </w:div>
    <w:div w:id="759789137">
      <w:bodyDiv w:val="1"/>
      <w:marLeft w:val="0"/>
      <w:marRight w:val="0"/>
      <w:marTop w:val="0"/>
      <w:marBottom w:val="0"/>
      <w:divBdr>
        <w:top w:val="none" w:sz="0" w:space="0" w:color="auto"/>
        <w:left w:val="none" w:sz="0" w:space="0" w:color="auto"/>
        <w:bottom w:val="none" w:sz="0" w:space="0" w:color="auto"/>
        <w:right w:val="none" w:sz="0" w:space="0" w:color="auto"/>
      </w:divBdr>
    </w:div>
    <w:div w:id="763575153">
      <w:bodyDiv w:val="1"/>
      <w:marLeft w:val="0"/>
      <w:marRight w:val="0"/>
      <w:marTop w:val="0"/>
      <w:marBottom w:val="0"/>
      <w:divBdr>
        <w:top w:val="none" w:sz="0" w:space="0" w:color="auto"/>
        <w:left w:val="none" w:sz="0" w:space="0" w:color="auto"/>
        <w:bottom w:val="none" w:sz="0" w:space="0" w:color="auto"/>
        <w:right w:val="none" w:sz="0" w:space="0" w:color="auto"/>
      </w:divBdr>
    </w:div>
    <w:div w:id="764230255">
      <w:bodyDiv w:val="1"/>
      <w:marLeft w:val="0"/>
      <w:marRight w:val="0"/>
      <w:marTop w:val="0"/>
      <w:marBottom w:val="0"/>
      <w:divBdr>
        <w:top w:val="none" w:sz="0" w:space="0" w:color="auto"/>
        <w:left w:val="none" w:sz="0" w:space="0" w:color="auto"/>
        <w:bottom w:val="none" w:sz="0" w:space="0" w:color="auto"/>
        <w:right w:val="none" w:sz="0" w:space="0" w:color="auto"/>
      </w:divBdr>
    </w:div>
    <w:div w:id="772091935">
      <w:bodyDiv w:val="1"/>
      <w:marLeft w:val="0"/>
      <w:marRight w:val="0"/>
      <w:marTop w:val="0"/>
      <w:marBottom w:val="0"/>
      <w:divBdr>
        <w:top w:val="none" w:sz="0" w:space="0" w:color="auto"/>
        <w:left w:val="none" w:sz="0" w:space="0" w:color="auto"/>
        <w:bottom w:val="none" w:sz="0" w:space="0" w:color="auto"/>
        <w:right w:val="none" w:sz="0" w:space="0" w:color="auto"/>
      </w:divBdr>
    </w:div>
    <w:div w:id="773400912">
      <w:bodyDiv w:val="1"/>
      <w:marLeft w:val="0"/>
      <w:marRight w:val="0"/>
      <w:marTop w:val="0"/>
      <w:marBottom w:val="0"/>
      <w:divBdr>
        <w:top w:val="none" w:sz="0" w:space="0" w:color="auto"/>
        <w:left w:val="none" w:sz="0" w:space="0" w:color="auto"/>
        <w:bottom w:val="none" w:sz="0" w:space="0" w:color="auto"/>
        <w:right w:val="none" w:sz="0" w:space="0" w:color="auto"/>
      </w:divBdr>
    </w:div>
    <w:div w:id="777287478">
      <w:bodyDiv w:val="1"/>
      <w:marLeft w:val="0"/>
      <w:marRight w:val="0"/>
      <w:marTop w:val="0"/>
      <w:marBottom w:val="0"/>
      <w:divBdr>
        <w:top w:val="none" w:sz="0" w:space="0" w:color="auto"/>
        <w:left w:val="none" w:sz="0" w:space="0" w:color="auto"/>
        <w:bottom w:val="none" w:sz="0" w:space="0" w:color="auto"/>
        <w:right w:val="none" w:sz="0" w:space="0" w:color="auto"/>
      </w:divBdr>
    </w:div>
    <w:div w:id="780152675">
      <w:bodyDiv w:val="1"/>
      <w:marLeft w:val="0"/>
      <w:marRight w:val="0"/>
      <w:marTop w:val="0"/>
      <w:marBottom w:val="0"/>
      <w:divBdr>
        <w:top w:val="none" w:sz="0" w:space="0" w:color="auto"/>
        <w:left w:val="none" w:sz="0" w:space="0" w:color="auto"/>
        <w:bottom w:val="none" w:sz="0" w:space="0" w:color="auto"/>
        <w:right w:val="none" w:sz="0" w:space="0" w:color="auto"/>
      </w:divBdr>
    </w:div>
    <w:div w:id="788662721">
      <w:bodyDiv w:val="1"/>
      <w:marLeft w:val="0"/>
      <w:marRight w:val="0"/>
      <w:marTop w:val="0"/>
      <w:marBottom w:val="0"/>
      <w:divBdr>
        <w:top w:val="none" w:sz="0" w:space="0" w:color="auto"/>
        <w:left w:val="none" w:sz="0" w:space="0" w:color="auto"/>
        <w:bottom w:val="none" w:sz="0" w:space="0" w:color="auto"/>
        <w:right w:val="none" w:sz="0" w:space="0" w:color="auto"/>
      </w:divBdr>
    </w:div>
    <w:div w:id="790779955">
      <w:bodyDiv w:val="1"/>
      <w:marLeft w:val="0"/>
      <w:marRight w:val="0"/>
      <w:marTop w:val="0"/>
      <w:marBottom w:val="0"/>
      <w:divBdr>
        <w:top w:val="none" w:sz="0" w:space="0" w:color="auto"/>
        <w:left w:val="none" w:sz="0" w:space="0" w:color="auto"/>
        <w:bottom w:val="none" w:sz="0" w:space="0" w:color="auto"/>
        <w:right w:val="none" w:sz="0" w:space="0" w:color="auto"/>
      </w:divBdr>
    </w:div>
    <w:div w:id="792985736">
      <w:bodyDiv w:val="1"/>
      <w:marLeft w:val="0"/>
      <w:marRight w:val="0"/>
      <w:marTop w:val="0"/>
      <w:marBottom w:val="0"/>
      <w:divBdr>
        <w:top w:val="none" w:sz="0" w:space="0" w:color="auto"/>
        <w:left w:val="none" w:sz="0" w:space="0" w:color="auto"/>
        <w:bottom w:val="none" w:sz="0" w:space="0" w:color="auto"/>
        <w:right w:val="none" w:sz="0" w:space="0" w:color="auto"/>
      </w:divBdr>
    </w:div>
    <w:div w:id="793904827">
      <w:bodyDiv w:val="1"/>
      <w:marLeft w:val="0"/>
      <w:marRight w:val="0"/>
      <w:marTop w:val="0"/>
      <w:marBottom w:val="0"/>
      <w:divBdr>
        <w:top w:val="none" w:sz="0" w:space="0" w:color="auto"/>
        <w:left w:val="none" w:sz="0" w:space="0" w:color="auto"/>
        <w:bottom w:val="none" w:sz="0" w:space="0" w:color="auto"/>
        <w:right w:val="none" w:sz="0" w:space="0" w:color="auto"/>
      </w:divBdr>
    </w:div>
    <w:div w:id="797407260">
      <w:bodyDiv w:val="1"/>
      <w:marLeft w:val="0"/>
      <w:marRight w:val="0"/>
      <w:marTop w:val="0"/>
      <w:marBottom w:val="0"/>
      <w:divBdr>
        <w:top w:val="none" w:sz="0" w:space="0" w:color="auto"/>
        <w:left w:val="none" w:sz="0" w:space="0" w:color="auto"/>
        <w:bottom w:val="none" w:sz="0" w:space="0" w:color="auto"/>
        <w:right w:val="none" w:sz="0" w:space="0" w:color="auto"/>
      </w:divBdr>
    </w:div>
    <w:div w:id="804465386">
      <w:bodyDiv w:val="1"/>
      <w:marLeft w:val="0"/>
      <w:marRight w:val="0"/>
      <w:marTop w:val="0"/>
      <w:marBottom w:val="0"/>
      <w:divBdr>
        <w:top w:val="none" w:sz="0" w:space="0" w:color="auto"/>
        <w:left w:val="none" w:sz="0" w:space="0" w:color="auto"/>
        <w:bottom w:val="none" w:sz="0" w:space="0" w:color="auto"/>
        <w:right w:val="none" w:sz="0" w:space="0" w:color="auto"/>
      </w:divBdr>
    </w:div>
    <w:div w:id="810556057">
      <w:bodyDiv w:val="1"/>
      <w:marLeft w:val="0"/>
      <w:marRight w:val="0"/>
      <w:marTop w:val="0"/>
      <w:marBottom w:val="0"/>
      <w:divBdr>
        <w:top w:val="none" w:sz="0" w:space="0" w:color="auto"/>
        <w:left w:val="none" w:sz="0" w:space="0" w:color="auto"/>
        <w:bottom w:val="none" w:sz="0" w:space="0" w:color="auto"/>
        <w:right w:val="none" w:sz="0" w:space="0" w:color="auto"/>
      </w:divBdr>
    </w:div>
    <w:div w:id="810832217">
      <w:bodyDiv w:val="1"/>
      <w:marLeft w:val="0"/>
      <w:marRight w:val="0"/>
      <w:marTop w:val="0"/>
      <w:marBottom w:val="0"/>
      <w:divBdr>
        <w:top w:val="none" w:sz="0" w:space="0" w:color="auto"/>
        <w:left w:val="none" w:sz="0" w:space="0" w:color="auto"/>
        <w:bottom w:val="none" w:sz="0" w:space="0" w:color="auto"/>
        <w:right w:val="none" w:sz="0" w:space="0" w:color="auto"/>
      </w:divBdr>
    </w:div>
    <w:div w:id="814028157">
      <w:bodyDiv w:val="1"/>
      <w:marLeft w:val="0"/>
      <w:marRight w:val="0"/>
      <w:marTop w:val="0"/>
      <w:marBottom w:val="0"/>
      <w:divBdr>
        <w:top w:val="none" w:sz="0" w:space="0" w:color="auto"/>
        <w:left w:val="none" w:sz="0" w:space="0" w:color="auto"/>
        <w:bottom w:val="none" w:sz="0" w:space="0" w:color="auto"/>
        <w:right w:val="none" w:sz="0" w:space="0" w:color="auto"/>
      </w:divBdr>
    </w:div>
    <w:div w:id="819658958">
      <w:bodyDiv w:val="1"/>
      <w:marLeft w:val="0"/>
      <w:marRight w:val="0"/>
      <w:marTop w:val="0"/>
      <w:marBottom w:val="0"/>
      <w:divBdr>
        <w:top w:val="none" w:sz="0" w:space="0" w:color="auto"/>
        <w:left w:val="none" w:sz="0" w:space="0" w:color="auto"/>
        <w:bottom w:val="none" w:sz="0" w:space="0" w:color="auto"/>
        <w:right w:val="none" w:sz="0" w:space="0" w:color="auto"/>
      </w:divBdr>
    </w:div>
    <w:div w:id="821850135">
      <w:bodyDiv w:val="1"/>
      <w:marLeft w:val="0"/>
      <w:marRight w:val="0"/>
      <w:marTop w:val="0"/>
      <w:marBottom w:val="0"/>
      <w:divBdr>
        <w:top w:val="none" w:sz="0" w:space="0" w:color="auto"/>
        <w:left w:val="none" w:sz="0" w:space="0" w:color="auto"/>
        <w:bottom w:val="none" w:sz="0" w:space="0" w:color="auto"/>
        <w:right w:val="none" w:sz="0" w:space="0" w:color="auto"/>
      </w:divBdr>
    </w:div>
    <w:div w:id="827667434">
      <w:bodyDiv w:val="1"/>
      <w:marLeft w:val="0"/>
      <w:marRight w:val="0"/>
      <w:marTop w:val="0"/>
      <w:marBottom w:val="0"/>
      <w:divBdr>
        <w:top w:val="none" w:sz="0" w:space="0" w:color="auto"/>
        <w:left w:val="none" w:sz="0" w:space="0" w:color="auto"/>
        <w:bottom w:val="none" w:sz="0" w:space="0" w:color="auto"/>
        <w:right w:val="none" w:sz="0" w:space="0" w:color="auto"/>
      </w:divBdr>
    </w:div>
    <w:div w:id="829563711">
      <w:bodyDiv w:val="1"/>
      <w:marLeft w:val="0"/>
      <w:marRight w:val="0"/>
      <w:marTop w:val="0"/>
      <w:marBottom w:val="0"/>
      <w:divBdr>
        <w:top w:val="none" w:sz="0" w:space="0" w:color="auto"/>
        <w:left w:val="none" w:sz="0" w:space="0" w:color="auto"/>
        <w:bottom w:val="none" w:sz="0" w:space="0" w:color="auto"/>
        <w:right w:val="none" w:sz="0" w:space="0" w:color="auto"/>
      </w:divBdr>
    </w:div>
    <w:div w:id="830293134">
      <w:bodyDiv w:val="1"/>
      <w:marLeft w:val="0"/>
      <w:marRight w:val="0"/>
      <w:marTop w:val="0"/>
      <w:marBottom w:val="0"/>
      <w:divBdr>
        <w:top w:val="none" w:sz="0" w:space="0" w:color="auto"/>
        <w:left w:val="none" w:sz="0" w:space="0" w:color="auto"/>
        <w:bottom w:val="none" w:sz="0" w:space="0" w:color="auto"/>
        <w:right w:val="none" w:sz="0" w:space="0" w:color="auto"/>
      </w:divBdr>
    </w:div>
    <w:div w:id="833684744">
      <w:bodyDiv w:val="1"/>
      <w:marLeft w:val="0"/>
      <w:marRight w:val="0"/>
      <w:marTop w:val="0"/>
      <w:marBottom w:val="0"/>
      <w:divBdr>
        <w:top w:val="none" w:sz="0" w:space="0" w:color="auto"/>
        <w:left w:val="none" w:sz="0" w:space="0" w:color="auto"/>
        <w:bottom w:val="none" w:sz="0" w:space="0" w:color="auto"/>
        <w:right w:val="none" w:sz="0" w:space="0" w:color="auto"/>
      </w:divBdr>
    </w:div>
    <w:div w:id="834343916">
      <w:bodyDiv w:val="1"/>
      <w:marLeft w:val="0"/>
      <w:marRight w:val="0"/>
      <w:marTop w:val="0"/>
      <w:marBottom w:val="0"/>
      <w:divBdr>
        <w:top w:val="none" w:sz="0" w:space="0" w:color="auto"/>
        <w:left w:val="none" w:sz="0" w:space="0" w:color="auto"/>
        <w:bottom w:val="none" w:sz="0" w:space="0" w:color="auto"/>
        <w:right w:val="none" w:sz="0" w:space="0" w:color="auto"/>
      </w:divBdr>
    </w:div>
    <w:div w:id="834612362">
      <w:bodyDiv w:val="1"/>
      <w:marLeft w:val="0"/>
      <w:marRight w:val="0"/>
      <w:marTop w:val="0"/>
      <w:marBottom w:val="0"/>
      <w:divBdr>
        <w:top w:val="none" w:sz="0" w:space="0" w:color="auto"/>
        <w:left w:val="none" w:sz="0" w:space="0" w:color="auto"/>
        <w:bottom w:val="none" w:sz="0" w:space="0" w:color="auto"/>
        <w:right w:val="none" w:sz="0" w:space="0" w:color="auto"/>
      </w:divBdr>
    </w:div>
    <w:div w:id="838424551">
      <w:bodyDiv w:val="1"/>
      <w:marLeft w:val="0"/>
      <w:marRight w:val="0"/>
      <w:marTop w:val="0"/>
      <w:marBottom w:val="0"/>
      <w:divBdr>
        <w:top w:val="none" w:sz="0" w:space="0" w:color="auto"/>
        <w:left w:val="none" w:sz="0" w:space="0" w:color="auto"/>
        <w:bottom w:val="none" w:sz="0" w:space="0" w:color="auto"/>
        <w:right w:val="none" w:sz="0" w:space="0" w:color="auto"/>
      </w:divBdr>
    </w:div>
    <w:div w:id="846597865">
      <w:bodyDiv w:val="1"/>
      <w:marLeft w:val="0"/>
      <w:marRight w:val="0"/>
      <w:marTop w:val="0"/>
      <w:marBottom w:val="0"/>
      <w:divBdr>
        <w:top w:val="none" w:sz="0" w:space="0" w:color="auto"/>
        <w:left w:val="none" w:sz="0" w:space="0" w:color="auto"/>
        <w:bottom w:val="none" w:sz="0" w:space="0" w:color="auto"/>
        <w:right w:val="none" w:sz="0" w:space="0" w:color="auto"/>
      </w:divBdr>
    </w:div>
    <w:div w:id="849297688">
      <w:bodyDiv w:val="1"/>
      <w:marLeft w:val="0"/>
      <w:marRight w:val="0"/>
      <w:marTop w:val="0"/>
      <w:marBottom w:val="0"/>
      <w:divBdr>
        <w:top w:val="none" w:sz="0" w:space="0" w:color="auto"/>
        <w:left w:val="none" w:sz="0" w:space="0" w:color="auto"/>
        <w:bottom w:val="none" w:sz="0" w:space="0" w:color="auto"/>
        <w:right w:val="none" w:sz="0" w:space="0" w:color="auto"/>
      </w:divBdr>
    </w:div>
    <w:div w:id="854535221">
      <w:bodyDiv w:val="1"/>
      <w:marLeft w:val="0"/>
      <w:marRight w:val="0"/>
      <w:marTop w:val="0"/>
      <w:marBottom w:val="0"/>
      <w:divBdr>
        <w:top w:val="none" w:sz="0" w:space="0" w:color="auto"/>
        <w:left w:val="none" w:sz="0" w:space="0" w:color="auto"/>
        <w:bottom w:val="none" w:sz="0" w:space="0" w:color="auto"/>
        <w:right w:val="none" w:sz="0" w:space="0" w:color="auto"/>
      </w:divBdr>
    </w:div>
    <w:div w:id="860432032">
      <w:bodyDiv w:val="1"/>
      <w:marLeft w:val="0"/>
      <w:marRight w:val="0"/>
      <w:marTop w:val="0"/>
      <w:marBottom w:val="0"/>
      <w:divBdr>
        <w:top w:val="none" w:sz="0" w:space="0" w:color="auto"/>
        <w:left w:val="none" w:sz="0" w:space="0" w:color="auto"/>
        <w:bottom w:val="none" w:sz="0" w:space="0" w:color="auto"/>
        <w:right w:val="none" w:sz="0" w:space="0" w:color="auto"/>
      </w:divBdr>
    </w:div>
    <w:div w:id="861669710">
      <w:bodyDiv w:val="1"/>
      <w:marLeft w:val="0"/>
      <w:marRight w:val="0"/>
      <w:marTop w:val="0"/>
      <w:marBottom w:val="0"/>
      <w:divBdr>
        <w:top w:val="none" w:sz="0" w:space="0" w:color="auto"/>
        <w:left w:val="none" w:sz="0" w:space="0" w:color="auto"/>
        <w:bottom w:val="none" w:sz="0" w:space="0" w:color="auto"/>
        <w:right w:val="none" w:sz="0" w:space="0" w:color="auto"/>
      </w:divBdr>
    </w:div>
    <w:div w:id="862742158">
      <w:bodyDiv w:val="1"/>
      <w:marLeft w:val="0"/>
      <w:marRight w:val="0"/>
      <w:marTop w:val="0"/>
      <w:marBottom w:val="0"/>
      <w:divBdr>
        <w:top w:val="none" w:sz="0" w:space="0" w:color="auto"/>
        <w:left w:val="none" w:sz="0" w:space="0" w:color="auto"/>
        <w:bottom w:val="none" w:sz="0" w:space="0" w:color="auto"/>
        <w:right w:val="none" w:sz="0" w:space="0" w:color="auto"/>
      </w:divBdr>
    </w:div>
    <w:div w:id="869144060">
      <w:bodyDiv w:val="1"/>
      <w:marLeft w:val="0"/>
      <w:marRight w:val="0"/>
      <w:marTop w:val="0"/>
      <w:marBottom w:val="0"/>
      <w:divBdr>
        <w:top w:val="none" w:sz="0" w:space="0" w:color="auto"/>
        <w:left w:val="none" w:sz="0" w:space="0" w:color="auto"/>
        <w:bottom w:val="none" w:sz="0" w:space="0" w:color="auto"/>
        <w:right w:val="none" w:sz="0" w:space="0" w:color="auto"/>
      </w:divBdr>
    </w:div>
    <w:div w:id="869756633">
      <w:bodyDiv w:val="1"/>
      <w:marLeft w:val="0"/>
      <w:marRight w:val="0"/>
      <w:marTop w:val="0"/>
      <w:marBottom w:val="0"/>
      <w:divBdr>
        <w:top w:val="none" w:sz="0" w:space="0" w:color="auto"/>
        <w:left w:val="none" w:sz="0" w:space="0" w:color="auto"/>
        <w:bottom w:val="none" w:sz="0" w:space="0" w:color="auto"/>
        <w:right w:val="none" w:sz="0" w:space="0" w:color="auto"/>
      </w:divBdr>
    </w:div>
    <w:div w:id="872771840">
      <w:bodyDiv w:val="1"/>
      <w:marLeft w:val="0"/>
      <w:marRight w:val="0"/>
      <w:marTop w:val="0"/>
      <w:marBottom w:val="0"/>
      <w:divBdr>
        <w:top w:val="none" w:sz="0" w:space="0" w:color="auto"/>
        <w:left w:val="none" w:sz="0" w:space="0" w:color="auto"/>
        <w:bottom w:val="none" w:sz="0" w:space="0" w:color="auto"/>
        <w:right w:val="none" w:sz="0" w:space="0" w:color="auto"/>
      </w:divBdr>
    </w:div>
    <w:div w:id="876310061">
      <w:bodyDiv w:val="1"/>
      <w:marLeft w:val="0"/>
      <w:marRight w:val="0"/>
      <w:marTop w:val="0"/>
      <w:marBottom w:val="0"/>
      <w:divBdr>
        <w:top w:val="none" w:sz="0" w:space="0" w:color="auto"/>
        <w:left w:val="none" w:sz="0" w:space="0" w:color="auto"/>
        <w:bottom w:val="none" w:sz="0" w:space="0" w:color="auto"/>
        <w:right w:val="none" w:sz="0" w:space="0" w:color="auto"/>
      </w:divBdr>
    </w:div>
    <w:div w:id="884290071">
      <w:bodyDiv w:val="1"/>
      <w:marLeft w:val="0"/>
      <w:marRight w:val="0"/>
      <w:marTop w:val="0"/>
      <w:marBottom w:val="0"/>
      <w:divBdr>
        <w:top w:val="none" w:sz="0" w:space="0" w:color="auto"/>
        <w:left w:val="none" w:sz="0" w:space="0" w:color="auto"/>
        <w:bottom w:val="none" w:sz="0" w:space="0" w:color="auto"/>
        <w:right w:val="none" w:sz="0" w:space="0" w:color="auto"/>
      </w:divBdr>
    </w:div>
    <w:div w:id="884758477">
      <w:bodyDiv w:val="1"/>
      <w:marLeft w:val="0"/>
      <w:marRight w:val="0"/>
      <w:marTop w:val="0"/>
      <w:marBottom w:val="0"/>
      <w:divBdr>
        <w:top w:val="none" w:sz="0" w:space="0" w:color="auto"/>
        <w:left w:val="none" w:sz="0" w:space="0" w:color="auto"/>
        <w:bottom w:val="none" w:sz="0" w:space="0" w:color="auto"/>
        <w:right w:val="none" w:sz="0" w:space="0" w:color="auto"/>
      </w:divBdr>
    </w:div>
    <w:div w:id="888372785">
      <w:bodyDiv w:val="1"/>
      <w:marLeft w:val="0"/>
      <w:marRight w:val="0"/>
      <w:marTop w:val="0"/>
      <w:marBottom w:val="0"/>
      <w:divBdr>
        <w:top w:val="none" w:sz="0" w:space="0" w:color="auto"/>
        <w:left w:val="none" w:sz="0" w:space="0" w:color="auto"/>
        <w:bottom w:val="none" w:sz="0" w:space="0" w:color="auto"/>
        <w:right w:val="none" w:sz="0" w:space="0" w:color="auto"/>
      </w:divBdr>
    </w:div>
    <w:div w:id="894045505">
      <w:bodyDiv w:val="1"/>
      <w:marLeft w:val="0"/>
      <w:marRight w:val="0"/>
      <w:marTop w:val="0"/>
      <w:marBottom w:val="0"/>
      <w:divBdr>
        <w:top w:val="none" w:sz="0" w:space="0" w:color="auto"/>
        <w:left w:val="none" w:sz="0" w:space="0" w:color="auto"/>
        <w:bottom w:val="none" w:sz="0" w:space="0" w:color="auto"/>
        <w:right w:val="none" w:sz="0" w:space="0" w:color="auto"/>
      </w:divBdr>
    </w:div>
    <w:div w:id="900792768">
      <w:bodyDiv w:val="1"/>
      <w:marLeft w:val="0"/>
      <w:marRight w:val="0"/>
      <w:marTop w:val="0"/>
      <w:marBottom w:val="0"/>
      <w:divBdr>
        <w:top w:val="none" w:sz="0" w:space="0" w:color="auto"/>
        <w:left w:val="none" w:sz="0" w:space="0" w:color="auto"/>
        <w:bottom w:val="none" w:sz="0" w:space="0" w:color="auto"/>
        <w:right w:val="none" w:sz="0" w:space="0" w:color="auto"/>
      </w:divBdr>
    </w:div>
    <w:div w:id="901136521">
      <w:bodyDiv w:val="1"/>
      <w:marLeft w:val="0"/>
      <w:marRight w:val="0"/>
      <w:marTop w:val="0"/>
      <w:marBottom w:val="0"/>
      <w:divBdr>
        <w:top w:val="none" w:sz="0" w:space="0" w:color="auto"/>
        <w:left w:val="none" w:sz="0" w:space="0" w:color="auto"/>
        <w:bottom w:val="none" w:sz="0" w:space="0" w:color="auto"/>
        <w:right w:val="none" w:sz="0" w:space="0" w:color="auto"/>
      </w:divBdr>
    </w:div>
    <w:div w:id="902906817">
      <w:bodyDiv w:val="1"/>
      <w:marLeft w:val="0"/>
      <w:marRight w:val="0"/>
      <w:marTop w:val="0"/>
      <w:marBottom w:val="0"/>
      <w:divBdr>
        <w:top w:val="none" w:sz="0" w:space="0" w:color="auto"/>
        <w:left w:val="none" w:sz="0" w:space="0" w:color="auto"/>
        <w:bottom w:val="none" w:sz="0" w:space="0" w:color="auto"/>
        <w:right w:val="none" w:sz="0" w:space="0" w:color="auto"/>
      </w:divBdr>
    </w:div>
    <w:div w:id="905841545">
      <w:bodyDiv w:val="1"/>
      <w:marLeft w:val="0"/>
      <w:marRight w:val="0"/>
      <w:marTop w:val="0"/>
      <w:marBottom w:val="0"/>
      <w:divBdr>
        <w:top w:val="none" w:sz="0" w:space="0" w:color="auto"/>
        <w:left w:val="none" w:sz="0" w:space="0" w:color="auto"/>
        <w:bottom w:val="none" w:sz="0" w:space="0" w:color="auto"/>
        <w:right w:val="none" w:sz="0" w:space="0" w:color="auto"/>
      </w:divBdr>
    </w:div>
    <w:div w:id="910232766">
      <w:bodyDiv w:val="1"/>
      <w:marLeft w:val="0"/>
      <w:marRight w:val="0"/>
      <w:marTop w:val="0"/>
      <w:marBottom w:val="0"/>
      <w:divBdr>
        <w:top w:val="none" w:sz="0" w:space="0" w:color="auto"/>
        <w:left w:val="none" w:sz="0" w:space="0" w:color="auto"/>
        <w:bottom w:val="none" w:sz="0" w:space="0" w:color="auto"/>
        <w:right w:val="none" w:sz="0" w:space="0" w:color="auto"/>
      </w:divBdr>
    </w:div>
    <w:div w:id="917405230">
      <w:bodyDiv w:val="1"/>
      <w:marLeft w:val="0"/>
      <w:marRight w:val="0"/>
      <w:marTop w:val="0"/>
      <w:marBottom w:val="0"/>
      <w:divBdr>
        <w:top w:val="none" w:sz="0" w:space="0" w:color="auto"/>
        <w:left w:val="none" w:sz="0" w:space="0" w:color="auto"/>
        <w:bottom w:val="none" w:sz="0" w:space="0" w:color="auto"/>
        <w:right w:val="none" w:sz="0" w:space="0" w:color="auto"/>
      </w:divBdr>
    </w:div>
    <w:div w:id="917709575">
      <w:bodyDiv w:val="1"/>
      <w:marLeft w:val="0"/>
      <w:marRight w:val="0"/>
      <w:marTop w:val="0"/>
      <w:marBottom w:val="0"/>
      <w:divBdr>
        <w:top w:val="none" w:sz="0" w:space="0" w:color="auto"/>
        <w:left w:val="none" w:sz="0" w:space="0" w:color="auto"/>
        <w:bottom w:val="none" w:sz="0" w:space="0" w:color="auto"/>
        <w:right w:val="none" w:sz="0" w:space="0" w:color="auto"/>
      </w:divBdr>
    </w:div>
    <w:div w:id="918487891">
      <w:bodyDiv w:val="1"/>
      <w:marLeft w:val="0"/>
      <w:marRight w:val="0"/>
      <w:marTop w:val="0"/>
      <w:marBottom w:val="0"/>
      <w:divBdr>
        <w:top w:val="none" w:sz="0" w:space="0" w:color="auto"/>
        <w:left w:val="none" w:sz="0" w:space="0" w:color="auto"/>
        <w:bottom w:val="none" w:sz="0" w:space="0" w:color="auto"/>
        <w:right w:val="none" w:sz="0" w:space="0" w:color="auto"/>
      </w:divBdr>
    </w:div>
    <w:div w:id="926116174">
      <w:bodyDiv w:val="1"/>
      <w:marLeft w:val="0"/>
      <w:marRight w:val="0"/>
      <w:marTop w:val="0"/>
      <w:marBottom w:val="0"/>
      <w:divBdr>
        <w:top w:val="none" w:sz="0" w:space="0" w:color="auto"/>
        <w:left w:val="none" w:sz="0" w:space="0" w:color="auto"/>
        <w:bottom w:val="none" w:sz="0" w:space="0" w:color="auto"/>
        <w:right w:val="none" w:sz="0" w:space="0" w:color="auto"/>
      </w:divBdr>
    </w:div>
    <w:div w:id="927152472">
      <w:bodyDiv w:val="1"/>
      <w:marLeft w:val="0"/>
      <w:marRight w:val="0"/>
      <w:marTop w:val="0"/>
      <w:marBottom w:val="0"/>
      <w:divBdr>
        <w:top w:val="none" w:sz="0" w:space="0" w:color="auto"/>
        <w:left w:val="none" w:sz="0" w:space="0" w:color="auto"/>
        <w:bottom w:val="none" w:sz="0" w:space="0" w:color="auto"/>
        <w:right w:val="none" w:sz="0" w:space="0" w:color="auto"/>
      </w:divBdr>
    </w:div>
    <w:div w:id="930048975">
      <w:bodyDiv w:val="1"/>
      <w:marLeft w:val="0"/>
      <w:marRight w:val="0"/>
      <w:marTop w:val="0"/>
      <w:marBottom w:val="0"/>
      <w:divBdr>
        <w:top w:val="none" w:sz="0" w:space="0" w:color="auto"/>
        <w:left w:val="none" w:sz="0" w:space="0" w:color="auto"/>
        <w:bottom w:val="none" w:sz="0" w:space="0" w:color="auto"/>
        <w:right w:val="none" w:sz="0" w:space="0" w:color="auto"/>
      </w:divBdr>
    </w:div>
    <w:div w:id="932401585">
      <w:bodyDiv w:val="1"/>
      <w:marLeft w:val="0"/>
      <w:marRight w:val="0"/>
      <w:marTop w:val="0"/>
      <w:marBottom w:val="0"/>
      <w:divBdr>
        <w:top w:val="none" w:sz="0" w:space="0" w:color="auto"/>
        <w:left w:val="none" w:sz="0" w:space="0" w:color="auto"/>
        <w:bottom w:val="none" w:sz="0" w:space="0" w:color="auto"/>
        <w:right w:val="none" w:sz="0" w:space="0" w:color="auto"/>
      </w:divBdr>
    </w:div>
    <w:div w:id="933510380">
      <w:bodyDiv w:val="1"/>
      <w:marLeft w:val="0"/>
      <w:marRight w:val="0"/>
      <w:marTop w:val="0"/>
      <w:marBottom w:val="0"/>
      <w:divBdr>
        <w:top w:val="none" w:sz="0" w:space="0" w:color="auto"/>
        <w:left w:val="none" w:sz="0" w:space="0" w:color="auto"/>
        <w:bottom w:val="none" w:sz="0" w:space="0" w:color="auto"/>
        <w:right w:val="none" w:sz="0" w:space="0" w:color="auto"/>
      </w:divBdr>
    </w:div>
    <w:div w:id="934365663">
      <w:bodyDiv w:val="1"/>
      <w:marLeft w:val="0"/>
      <w:marRight w:val="0"/>
      <w:marTop w:val="0"/>
      <w:marBottom w:val="0"/>
      <w:divBdr>
        <w:top w:val="none" w:sz="0" w:space="0" w:color="auto"/>
        <w:left w:val="none" w:sz="0" w:space="0" w:color="auto"/>
        <w:bottom w:val="none" w:sz="0" w:space="0" w:color="auto"/>
        <w:right w:val="none" w:sz="0" w:space="0" w:color="auto"/>
      </w:divBdr>
    </w:div>
    <w:div w:id="934552980">
      <w:bodyDiv w:val="1"/>
      <w:marLeft w:val="0"/>
      <w:marRight w:val="0"/>
      <w:marTop w:val="0"/>
      <w:marBottom w:val="0"/>
      <w:divBdr>
        <w:top w:val="none" w:sz="0" w:space="0" w:color="auto"/>
        <w:left w:val="none" w:sz="0" w:space="0" w:color="auto"/>
        <w:bottom w:val="none" w:sz="0" w:space="0" w:color="auto"/>
        <w:right w:val="none" w:sz="0" w:space="0" w:color="auto"/>
      </w:divBdr>
    </w:div>
    <w:div w:id="942960268">
      <w:bodyDiv w:val="1"/>
      <w:marLeft w:val="0"/>
      <w:marRight w:val="0"/>
      <w:marTop w:val="0"/>
      <w:marBottom w:val="0"/>
      <w:divBdr>
        <w:top w:val="none" w:sz="0" w:space="0" w:color="auto"/>
        <w:left w:val="none" w:sz="0" w:space="0" w:color="auto"/>
        <w:bottom w:val="none" w:sz="0" w:space="0" w:color="auto"/>
        <w:right w:val="none" w:sz="0" w:space="0" w:color="auto"/>
      </w:divBdr>
    </w:div>
    <w:div w:id="945313721">
      <w:bodyDiv w:val="1"/>
      <w:marLeft w:val="0"/>
      <w:marRight w:val="0"/>
      <w:marTop w:val="0"/>
      <w:marBottom w:val="0"/>
      <w:divBdr>
        <w:top w:val="none" w:sz="0" w:space="0" w:color="auto"/>
        <w:left w:val="none" w:sz="0" w:space="0" w:color="auto"/>
        <w:bottom w:val="none" w:sz="0" w:space="0" w:color="auto"/>
        <w:right w:val="none" w:sz="0" w:space="0" w:color="auto"/>
      </w:divBdr>
    </w:div>
    <w:div w:id="946621496">
      <w:bodyDiv w:val="1"/>
      <w:marLeft w:val="0"/>
      <w:marRight w:val="0"/>
      <w:marTop w:val="0"/>
      <w:marBottom w:val="0"/>
      <w:divBdr>
        <w:top w:val="none" w:sz="0" w:space="0" w:color="auto"/>
        <w:left w:val="none" w:sz="0" w:space="0" w:color="auto"/>
        <w:bottom w:val="none" w:sz="0" w:space="0" w:color="auto"/>
        <w:right w:val="none" w:sz="0" w:space="0" w:color="auto"/>
      </w:divBdr>
    </w:div>
    <w:div w:id="946884756">
      <w:bodyDiv w:val="1"/>
      <w:marLeft w:val="0"/>
      <w:marRight w:val="0"/>
      <w:marTop w:val="0"/>
      <w:marBottom w:val="0"/>
      <w:divBdr>
        <w:top w:val="none" w:sz="0" w:space="0" w:color="auto"/>
        <w:left w:val="none" w:sz="0" w:space="0" w:color="auto"/>
        <w:bottom w:val="none" w:sz="0" w:space="0" w:color="auto"/>
        <w:right w:val="none" w:sz="0" w:space="0" w:color="auto"/>
      </w:divBdr>
    </w:div>
    <w:div w:id="955216506">
      <w:bodyDiv w:val="1"/>
      <w:marLeft w:val="0"/>
      <w:marRight w:val="0"/>
      <w:marTop w:val="0"/>
      <w:marBottom w:val="0"/>
      <w:divBdr>
        <w:top w:val="none" w:sz="0" w:space="0" w:color="auto"/>
        <w:left w:val="none" w:sz="0" w:space="0" w:color="auto"/>
        <w:bottom w:val="none" w:sz="0" w:space="0" w:color="auto"/>
        <w:right w:val="none" w:sz="0" w:space="0" w:color="auto"/>
      </w:divBdr>
    </w:div>
    <w:div w:id="956789107">
      <w:bodyDiv w:val="1"/>
      <w:marLeft w:val="0"/>
      <w:marRight w:val="0"/>
      <w:marTop w:val="0"/>
      <w:marBottom w:val="0"/>
      <w:divBdr>
        <w:top w:val="none" w:sz="0" w:space="0" w:color="auto"/>
        <w:left w:val="none" w:sz="0" w:space="0" w:color="auto"/>
        <w:bottom w:val="none" w:sz="0" w:space="0" w:color="auto"/>
        <w:right w:val="none" w:sz="0" w:space="0" w:color="auto"/>
      </w:divBdr>
    </w:div>
    <w:div w:id="958147079">
      <w:bodyDiv w:val="1"/>
      <w:marLeft w:val="0"/>
      <w:marRight w:val="0"/>
      <w:marTop w:val="0"/>
      <w:marBottom w:val="0"/>
      <w:divBdr>
        <w:top w:val="none" w:sz="0" w:space="0" w:color="auto"/>
        <w:left w:val="none" w:sz="0" w:space="0" w:color="auto"/>
        <w:bottom w:val="none" w:sz="0" w:space="0" w:color="auto"/>
        <w:right w:val="none" w:sz="0" w:space="0" w:color="auto"/>
      </w:divBdr>
    </w:div>
    <w:div w:id="962419555">
      <w:bodyDiv w:val="1"/>
      <w:marLeft w:val="0"/>
      <w:marRight w:val="0"/>
      <w:marTop w:val="0"/>
      <w:marBottom w:val="0"/>
      <w:divBdr>
        <w:top w:val="none" w:sz="0" w:space="0" w:color="auto"/>
        <w:left w:val="none" w:sz="0" w:space="0" w:color="auto"/>
        <w:bottom w:val="none" w:sz="0" w:space="0" w:color="auto"/>
        <w:right w:val="none" w:sz="0" w:space="0" w:color="auto"/>
      </w:divBdr>
    </w:div>
    <w:div w:id="963314660">
      <w:bodyDiv w:val="1"/>
      <w:marLeft w:val="0"/>
      <w:marRight w:val="0"/>
      <w:marTop w:val="0"/>
      <w:marBottom w:val="0"/>
      <w:divBdr>
        <w:top w:val="none" w:sz="0" w:space="0" w:color="auto"/>
        <w:left w:val="none" w:sz="0" w:space="0" w:color="auto"/>
        <w:bottom w:val="none" w:sz="0" w:space="0" w:color="auto"/>
        <w:right w:val="none" w:sz="0" w:space="0" w:color="auto"/>
      </w:divBdr>
    </w:div>
    <w:div w:id="967589889">
      <w:bodyDiv w:val="1"/>
      <w:marLeft w:val="0"/>
      <w:marRight w:val="0"/>
      <w:marTop w:val="0"/>
      <w:marBottom w:val="0"/>
      <w:divBdr>
        <w:top w:val="none" w:sz="0" w:space="0" w:color="auto"/>
        <w:left w:val="none" w:sz="0" w:space="0" w:color="auto"/>
        <w:bottom w:val="none" w:sz="0" w:space="0" w:color="auto"/>
        <w:right w:val="none" w:sz="0" w:space="0" w:color="auto"/>
      </w:divBdr>
    </w:div>
    <w:div w:id="980185806">
      <w:bodyDiv w:val="1"/>
      <w:marLeft w:val="0"/>
      <w:marRight w:val="0"/>
      <w:marTop w:val="0"/>
      <w:marBottom w:val="0"/>
      <w:divBdr>
        <w:top w:val="none" w:sz="0" w:space="0" w:color="auto"/>
        <w:left w:val="none" w:sz="0" w:space="0" w:color="auto"/>
        <w:bottom w:val="none" w:sz="0" w:space="0" w:color="auto"/>
        <w:right w:val="none" w:sz="0" w:space="0" w:color="auto"/>
      </w:divBdr>
    </w:div>
    <w:div w:id="985622917">
      <w:bodyDiv w:val="1"/>
      <w:marLeft w:val="0"/>
      <w:marRight w:val="0"/>
      <w:marTop w:val="0"/>
      <w:marBottom w:val="0"/>
      <w:divBdr>
        <w:top w:val="none" w:sz="0" w:space="0" w:color="auto"/>
        <w:left w:val="none" w:sz="0" w:space="0" w:color="auto"/>
        <w:bottom w:val="none" w:sz="0" w:space="0" w:color="auto"/>
        <w:right w:val="none" w:sz="0" w:space="0" w:color="auto"/>
      </w:divBdr>
    </w:div>
    <w:div w:id="985668952">
      <w:bodyDiv w:val="1"/>
      <w:marLeft w:val="0"/>
      <w:marRight w:val="0"/>
      <w:marTop w:val="0"/>
      <w:marBottom w:val="0"/>
      <w:divBdr>
        <w:top w:val="none" w:sz="0" w:space="0" w:color="auto"/>
        <w:left w:val="none" w:sz="0" w:space="0" w:color="auto"/>
        <w:bottom w:val="none" w:sz="0" w:space="0" w:color="auto"/>
        <w:right w:val="none" w:sz="0" w:space="0" w:color="auto"/>
      </w:divBdr>
    </w:div>
    <w:div w:id="990447205">
      <w:bodyDiv w:val="1"/>
      <w:marLeft w:val="0"/>
      <w:marRight w:val="0"/>
      <w:marTop w:val="0"/>
      <w:marBottom w:val="0"/>
      <w:divBdr>
        <w:top w:val="none" w:sz="0" w:space="0" w:color="auto"/>
        <w:left w:val="none" w:sz="0" w:space="0" w:color="auto"/>
        <w:bottom w:val="none" w:sz="0" w:space="0" w:color="auto"/>
        <w:right w:val="none" w:sz="0" w:space="0" w:color="auto"/>
      </w:divBdr>
    </w:div>
    <w:div w:id="995840371">
      <w:bodyDiv w:val="1"/>
      <w:marLeft w:val="0"/>
      <w:marRight w:val="0"/>
      <w:marTop w:val="0"/>
      <w:marBottom w:val="0"/>
      <w:divBdr>
        <w:top w:val="none" w:sz="0" w:space="0" w:color="auto"/>
        <w:left w:val="none" w:sz="0" w:space="0" w:color="auto"/>
        <w:bottom w:val="none" w:sz="0" w:space="0" w:color="auto"/>
        <w:right w:val="none" w:sz="0" w:space="0" w:color="auto"/>
      </w:divBdr>
    </w:div>
    <w:div w:id="1000349125">
      <w:bodyDiv w:val="1"/>
      <w:marLeft w:val="0"/>
      <w:marRight w:val="0"/>
      <w:marTop w:val="0"/>
      <w:marBottom w:val="0"/>
      <w:divBdr>
        <w:top w:val="none" w:sz="0" w:space="0" w:color="auto"/>
        <w:left w:val="none" w:sz="0" w:space="0" w:color="auto"/>
        <w:bottom w:val="none" w:sz="0" w:space="0" w:color="auto"/>
        <w:right w:val="none" w:sz="0" w:space="0" w:color="auto"/>
      </w:divBdr>
    </w:div>
    <w:div w:id="1002781902">
      <w:bodyDiv w:val="1"/>
      <w:marLeft w:val="0"/>
      <w:marRight w:val="0"/>
      <w:marTop w:val="0"/>
      <w:marBottom w:val="0"/>
      <w:divBdr>
        <w:top w:val="none" w:sz="0" w:space="0" w:color="auto"/>
        <w:left w:val="none" w:sz="0" w:space="0" w:color="auto"/>
        <w:bottom w:val="none" w:sz="0" w:space="0" w:color="auto"/>
        <w:right w:val="none" w:sz="0" w:space="0" w:color="auto"/>
      </w:divBdr>
    </w:div>
    <w:div w:id="1005940096">
      <w:bodyDiv w:val="1"/>
      <w:marLeft w:val="0"/>
      <w:marRight w:val="0"/>
      <w:marTop w:val="0"/>
      <w:marBottom w:val="0"/>
      <w:divBdr>
        <w:top w:val="none" w:sz="0" w:space="0" w:color="auto"/>
        <w:left w:val="none" w:sz="0" w:space="0" w:color="auto"/>
        <w:bottom w:val="none" w:sz="0" w:space="0" w:color="auto"/>
        <w:right w:val="none" w:sz="0" w:space="0" w:color="auto"/>
      </w:divBdr>
    </w:div>
    <w:div w:id="1015422022">
      <w:bodyDiv w:val="1"/>
      <w:marLeft w:val="0"/>
      <w:marRight w:val="0"/>
      <w:marTop w:val="0"/>
      <w:marBottom w:val="0"/>
      <w:divBdr>
        <w:top w:val="none" w:sz="0" w:space="0" w:color="auto"/>
        <w:left w:val="none" w:sz="0" w:space="0" w:color="auto"/>
        <w:bottom w:val="none" w:sz="0" w:space="0" w:color="auto"/>
        <w:right w:val="none" w:sz="0" w:space="0" w:color="auto"/>
      </w:divBdr>
    </w:div>
    <w:div w:id="1019626714">
      <w:bodyDiv w:val="1"/>
      <w:marLeft w:val="0"/>
      <w:marRight w:val="0"/>
      <w:marTop w:val="0"/>
      <w:marBottom w:val="0"/>
      <w:divBdr>
        <w:top w:val="none" w:sz="0" w:space="0" w:color="auto"/>
        <w:left w:val="none" w:sz="0" w:space="0" w:color="auto"/>
        <w:bottom w:val="none" w:sz="0" w:space="0" w:color="auto"/>
        <w:right w:val="none" w:sz="0" w:space="0" w:color="auto"/>
      </w:divBdr>
    </w:div>
    <w:div w:id="1020156745">
      <w:bodyDiv w:val="1"/>
      <w:marLeft w:val="0"/>
      <w:marRight w:val="0"/>
      <w:marTop w:val="0"/>
      <w:marBottom w:val="0"/>
      <w:divBdr>
        <w:top w:val="none" w:sz="0" w:space="0" w:color="auto"/>
        <w:left w:val="none" w:sz="0" w:space="0" w:color="auto"/>
        <w:bottom w:val="none" w:sz="0" w:space="0" w:color="auto"/>
        <w:right w:val="none" w:sz="0" w:space="0" w:color="auto"/>
      </w:divBdr>
    </w:div>
    <w:div w:id="1020668627">
      <w:bodyDiv w:val="1"/>
      <w:marLeft w:val="0"/>
      <w:marRight w:val="0"/>
      <w:marTop w:val="0"/>
      <w:marBottom w:val="0"/>
      <w:divBdr>
        <w:top w:val="none" w:sz="0" w:space="0" w:color="auto"/>
        <w:left w:val="none" w:sz="0" w:space="0" w:color="auto"/>
        <w:bottom w:val="none" w:sz="0" w:space="0" w:color="auto"/>
        <w:right w:val="none" w:sz="0" w:space="0" w:color="auto"/>
      </w:divBdr>
    </w:div>
    <w:div w:id="1021248047">
      <w:bodyDiv w:val="1"/>
      <w:marLeft w:val="0"/>
      <w:marRight w:val="0"/>
      <w:marTop w:val="0"/>
      <w:marBottom w:val="0"/>
      <w:divBdr>
        <w:top w:val="none" w:sz="0" w:space="0" w:color="auto"/>
        <w:left w:val="none" w:sz="0" w:space="0" w:color="auto"/>
        <w:bottom w:val="none" w:sz="0" w:space="0" w:color="auto"/>
        <w:right w:val="none" w:sz="0" w:space="0" w:color="auto"/>
      </w:divBdr>
    </w:div>
    <w:div w:id="1027022501">
      <w:bodyDiv w:val="1"/>
      <w:marLeft w:val="0"/>
      <w:marRight w:val="0"/>
      <w:marTop w:val="0"/>
      <w:marBottom w:val="0"/>
      <w:divBdr>
        <w:top w:val="none" w:sz="0" w:space="0" w:color="auto"/>
        <w:left w:val="none" w:sz="0" w:space="0" w:color="auto"/>
        <w:bottom w:val="none" w:sz="0" w:space="0" w:color="auto"/>
        <w:right w:val="none" w:sz="0" w:space="0" w:color="auto"/>
      </w:divBdr>
    </w:div>
    <w:div w:id="1027220213">
      <w:bodyDiv w:val="1"/>
      <w:marLeft w:val="0"/>
      <w:marRight w:val="0"/>
      <w:marTop w:val="0"/>
      <w:marBottom w:val="0"/>
      <w:divBdr>
        <w:top w:val="none" w:sz="0" w:space="0" w:color="auto"/>
        <w:left w:val="none" w:sz="0" w:space="0" w:color="auto"/>
        <w:bottom w:val="none" w:sz="0" w:space="0" w:color="auto"/>
        <w:right w:val="none" w:sz="0" w:space="0" w:color="auto"/>
      </w:divBdr>
    </w:div>
    <w:div w:id="1033966085">
      <w:bodyDiv w:val="1"/>
      <w:marLeft w:val="0"/>
      <w:marRight w:val="0"/>
      <w:marTop w:val="0"/>
      <w:marBottom w:val="0"/>
      <w:divBdr>
        <w:top w:val="none" w:sz="0" w:space="0" w:color="auto"/>
        <w:left w:val="none" w:sz="0" w:space="0" w:color="auto"/>
        <w:bottom w:val="none" w:sz="0" w:space="0" w:color="auto"/>
        <w:right w:val="none" w:sz="0" w:space="0" w:color="auto"/>
      </w:divBdr>
    </w:div>
    <w:div w:id="1035079768">
      <w:bodyDiv w:val="1"/>
      <w:marLeft w:val="0"/>
      <w:marRight w:val="0"/>
      <w:marTop w:val="0"/>
      <w:marBottom w:val="0"/>
      <w:divBdr>
        <w:top w:val="none" w:sz="0" w:space="0" w:color="auto"/>
        <w:left w:val="none" w:sz="0" w:space="0" w:color="auto"/>
        <w:bottom w:val="none" w:sz="0" w:space="0" w:color="auto"/>
        <w:right w:val="none" w:sz="0" w:space="0" w:color="auto"/>
      </w:divBdr>
    </w:div>
    <w:div w:id="1040520695">
      <w:bodyDiv w:val="1"/>
      <w:marLeft w:val="0"/>
      <w:marRight w:val="0"/>
      <w:marTop w:val="0"/>
      <w:marBottom w:val="0"/>
      <w:divBdr>
        <w:top w:val="none" w:sz="0" w:space="0" w:color="auto"/>
        <w:left w:val="none" w:sz="0" w:space="0" w:color="auto"/>
        <w:bottom w:val="none" w:sz="0" w:space="0" w:color="auto"/>
        <w:right w:val="none" w:sz="0" w:space="0" w:color="auto"/>
      </w:divBdr>
    </w:div>
    <w:div w:id="1046294347">
      <w:bodyDiv w:val="1"/>
      <w:marLeft w:val="0"/>
      <w:marRight w:val="0"/>
      <w:marTop w:val="0"/>
      <w:marBottom w:val="0"/>
      <w:divBdr>
        <w:top w:val="none" w:sz="0" w:space="0" w:color="auto"/>
        <w:left w:val="none" w:sz="0" w:space="0" w:color="auto"/>
        <w:bottom w:val="none" w:sz="0" w:space="0" w:color="auto"/>
        <w:right w:val="none" w:sz="0" w:space="0" w:color="auto"/>
      </w:divBdr>
    </w:div>
    <w:div w:id="1050305100">
      <w:bodyDiv w:val="1"/>
      <w:marLeft w:val="0"/>
      <w:marRight w:val="0"/>
      <w:marTop w:val="0"/>
      <w:marBottom w:val="0"/>
      <w:divBdr>
        <w:top w:val="none" w:sz="0" w:space="0" w:color="auto"/>
        <w:left w:val="none" w:sz="0" w:space="0" w:color="auto"/>
        <w:bottom w:val="none" w:sz="0" w:space="0" w:color="auto"/>
        <w:right w:val="none" w:sz="0" w:space="0" w:color="auto"/>
      </w:divBdr>
    </w:div>
    <w:div w:id="1056971548">
      <w:bodyDiv w:val="1"/>
      <w:marLeft w:val="0"/>
      <w:marRight w:val="0"/>
      <w:marTop w:val="0"/>
      <w:marBottom w:val="0"/>
      <w:divBdr>
        <w:top w:val="none" w:sz="0" w:space="0" w:color="auto"/>
        <w:left w:val="none" w:sz="0" w:space="0" w:color="auto"/>
        <w:bottom w:val="none" w:sz="0" w:space="0" w:color="auto"/>
        <w:right w:val="none" w:sz="0" w:space="0" w:color="auto"/>
      </w:divBdr>
    </w:div>
    <w:div w:id="1061907078">
      <w:bodyDiv w:val="1"/>
      <w:marLeft w:val="0"/>
      <w:marRight w:val="0"/>
      <w:marTop w:val="0"/>
      <w:marBottom w:val="0"/>
      <w:divBdr>
        <w:top w:val="none" w:sz="0" w:space="0" w:color="auto"/>
        <w:left w:val="none" w:sz="0" w:space="0" w:color="auto"/>
        <w:bottom w:val="none" w:sz="0" w:space="0" w:color="auto"/>
        <w:right w:val="none" w:sz="0" w:space="0" w:color="auto"/>
      </w:divBdr>
    </w:div>
    <w:div w:id="1063868083">
      <w:bodyDiv w:val="1"/>
      <w:marLeft w:val="0"/>
      <w:marRight w:val="0"/>
      <w:marTop w:val="0"/>
      <w:marBottom w:val="0"/>
      <w:divBdr>
        <w:top w:val="none" w:sz="0" w:space="0" w:color="auto"/>
        <w:left w:val="none" w:sz="0" w:space="0" w:color="auto"/>
        <w:bottom w:val="none" w:sz="0" w:space="0" w:color="auto"/>
        <w:right w:val="none" w:sz="0" w:space="0" w:color="auto"/>
      </w:divBdr>
    </w:div>
    <w:div w:id="1065495881">
      <w:bodyDiv w:val="1"/>
      <w:marLeft w:val="0"/>
      <w:marRight w:val="0"/>
      <w:marTop w:val="0"/>
      <w:marBottom w:val="0"/>
      <w:divBdr>
        <w:top w:val="none" w:sz="0" w:space="0" w:color="auto"/>
        <w:left w:val="none" w:sz="0" w:space="0" w:color="auto"/>
        <w:bottom w:val="none" w:sz="0" w:space="0" w:color="auto"/>
        <w:right w:val="none" w:sz="0" w:space="0" w:color="auto"/>
      </w:divBdr>
    </w:div>
    <w:div w:id="1066417517">
      <w:bodyDiv w:val="1"/>
      <w:marLeft w:val="0"/>
      <w:marRight w:val="0"/>
      <w:marTop w:val="0"/>
      <w:marBottom w:val="0"/>
      <w:divBdr>
        <w:top w:val="none" w:sz="0" w:space="0" w:color="auto"/>
        <w:left w:val="none" w:sz="0" w:space="0" w:color="auto"/>
        <w:bottom w:val="none" w:sz="0" w:space="0" w:color="auto"/>
        <w:right w:val="none" w:sz="0" w:space="0" w:color="auto"/>
      </w:divBdr>
    </w:div>
    <w:div w:id="1068503758">
      <w:bodyDiv w:val="1"/>
      <w:marLeft w:val="0"/>
      <w:marRight w:val="0"/>
      <w:marTop w:val="0"/>
      <w:marBottom w:val="0"/>
      <w:divBdr>
        <w:top w:val="none" w:sz="0" w:space="0" w:color="auto"/>
        <w:left w:val="none" w:sz="0" w:space="0" w:color="auto"/>
        <w:bottom w:val="none" w:sz="0" w:space="0" w:color="auto"/>
        <w:right w:val="none" w:sz="0" w:space="0" w:color="auto"/>
      </w:divBdr>
    </w:div>
    <w:div w:id="1078089328">
      <w:bodyDiv w:val="1"/>
      <w:marLeft w:val="0"/>
      <w:marRight w:val="0"/>
      <w:marTop w:val="0"/>
      <w:marBottom w:val="0"/>
      <w:divBdr>
        <w:top w:val="none" w:sz="0" w:space="0" w:color="auto"/>
        <w:left w:val="none" w:sz="0" w:space="0" w:color="auto"/>
        <w:bottom w:val="none" w:sz="0" w:space="0" w:color="auto"/>
        <w:right w:val="none" w:sz="0" w:space="0" w:color="auto"/>
      </w:divBdr>
    </w:div>
    <w:div w:id="1080326380">
      <w:bodyDiv w:val="1"/>
      <w:marLeft w:val="0"/>
      <w:marRight w:val="0"/>
      <w:marTop w:val="0"/>
      <w:marBottom w:val="0"/>
      <w:divBdr>
        <w:top w:val="none" w:sz="0" w:space="0" w:color="auto"/>
        <w:left w:val="none" w:sz="0" w:space="0" w:color="auto"/>
        <w:bottom w:val="none" w:sz="0" w:space="0" w:color="auto"/>
        <w:right w:val="none" w:sz="0" w:space="0" w:color="auto"/>
      </w:divBdr>
    </w:div>
    <w:div w:id="1087312355">
      <w:bodyDiv w:val="1"/>
      <w:marLeft w:val="0"/>
      <w:marRight w:val="0"/>
      <w:marTop w:val="0"/>
      <w:marBottom w:val="0"/>
      <w:divBdr>
        <w:top w:val="none" w:sz="0" w:space="0" w:color="auto"/>
        <w:left w:val="none" w:sz="0" w:space="0" w:color="auto"/>
        <w:bottom w:val="none" w:sz="0" w:space="0" w:color="auto"/>
        <w:right w:val="none" w:sz="0" w:space="0" w:color="auto"/>
      </w:divBdr>
    </w:div>
    <w:div w:id="1089885036">
      <w:bodyDiv w:val="1"/>
      <w:marLeft w:val="0"/>
      <w:marRight w:val="0"/>
      <w:marTop w:val="0"/>
      <w:marBottom w:val="0"/>
      <w:divBdr>
        <w:top w:val="none" w:sz="0" w:space="0" w:color="auto"/>
        <w:left w:val="none" w:sz="0" w:space="0" w:color="auto"/>
        <w:bottom w:val="none" w:sz="0" w:space="0" w:color="auto"/>
        <w:right w:val="none" w:sz="0" w:space="0" w:color="auto"/>
      </w:divBdr>
    </w:div>
    <w:div w:id="1090811039">
      <w:bodyDiv w:val="1"/>
      <w:marLeft w:val="0"/>
      <w:marRight w:val="0"/>
      <w:marTop w:val="0"/>
      <w:marBottom w:val="0"/>
      <w:divBdr>
        <w:top w:val="none" w:sz="0" w:space="0" w:color="auto"/>
        <w:left w:val="none" w:sz="0" w:space="0" w:color="auto"/>
        <w:bottom w:val="none" w:sz="0" w:space="0" w:color="auto"/>
        <w:right w:val="none" w:sz="0" w:space="0" w:color="auto"/>
      </w:divBdr>
    </w:div>
    <w:div w:id="1091703589">
      <w:bodyDiv w:val="1"/>
      <w:marLeft w:val="0"/>
      <w:marRight w:val="0"/>
      <w:marTop w:val="0"/>
      <w:marBottom w:val="0"/>
      <w:divBdr>
        <w:top w:val="none" w:sz="0" w:space="0" w:color="auto"/>
        <w:left w:val="none" w:sz="0" w:space="0" w:color="auto"/>
        <w:bottom w:val="none" w:sz="0" w:space="0" w:color="auto"/>
        <w:right w:val="none" w:sz="0" w:space="0" w:color="auto"/>
      </w:divBdr>
    </w:div>
    <w:div w:id="1095130514">
      <w:bodyDiv w:val="1"/>
      <w:marLeft w:val="0"/>
      <w:marRight w:val="0"/>
      <w:marTop w:val="0"/>
      <w:marBottom w:val="0"/>
      <w:divBdr>
        <w:top w:val="none" w:sz="0" w:space="0" w:color="auto"/>
        <w:left w:val="none" w:sz="0" w:space="0" w:color="auto"/>
        <w:bottom w:val="none" w:sz="0" w:space="0" w:color="auto"/>
        <w:right w:val="none" w:sz="0" w:space="0" w:color="auto"/>
      </w:divBdr>
    </w:div>
    <w:div w:id="1097213184">
      <w:bodyDiv w:val="1"/>
      <w:marLeft w:val="0"/>
      <w:marRight w:val="0"/>
      <w:marTop w:val="0"/>
      <w:marBottom w:val="0"/>
      <w:divBdr>
        <w:top w:val="none" w:sz="0" w:space="0" w:color="auto"/>
        <w:left w:val="none" w:sz="0" w:space="0" w:color="auto"/>
        <w:bottom w:val="none" w:sz="0" w:space="0" w:color="auto"/>
        <w:right w:val="none" w:sz="0" w:space="0" w:color="auto"/>
      </w:divBdr>
    </w:div>
    <w:div w:id="1100494826">
      <w:bodyDiv w:val="1"/>
      <w:marLeft w:val="0"/>
      <w:marRight w:val="0"/>
      <w:marTop w:val="0"/>
      <w:marBottom w:val="0"/>
      <w:divBdr>
        <w:top w:val="none" w:sz="0" w:space="0" w:color="auto"/>
        <w:left w:val="none" w:sz="0" w:space="0" w:color="auto"/>
        <w:bottom w:val="none" w:sz="0" w:space="0" w:color="auto"/>
        <w:right w:val="none" w:sz="0" w:space="0" w:color="auto"/>
      </w:divBdr>
    </w:div>
    <w:div w:id="1124036797">
      <w:bodyDiv w:val="1"/>
      <w:marLeft w:val="0"/>
      <w:marRight w:val="0"/>
      <w:marTop w:val="0"/>
      <w:marBottom w:val="0"/>
      <w:divBdr>
        <w:top w:val="none" w:sz="0" w:space="0" w:color="auto"/>
        <w:left w:val="none" w:sz="0" w:space="0" w:color="auto"/>
        <w:bottom w:val="none" w:sz="0" w:space="0" w:color="auto"/>
        <w:right w:val="none" w:sz="0" w:space="0" w:color="auto"/>
      </w:divBdr>
    </w:div>
    <w:div w:id="1125076917">
      <w:bodyDiv w:val="1"/>
      <w:marLeft w:val="0"/>
      <w:marRight w:val="0"/>
      <w:marTop w:val="0"/>
      <w:marBottom w:val="0"/>
      <w:divBdr>
        <w:top w:val="none" w:sz="0" w:space="0" w:color="auto"/>
        <w:left w:val="none" w:sz="0" w:space="0" w:color="auto"/>
        <w:bottom w:val="none" w:sz="0" w:space="0" w:color="auto"/>
        <w:right w:val="none" w:sz="0" w:space="0" w:color="auto"/>
      </w:divBdr>
    </w:div>
    <w:div w:id="1135562007">
      <w:bodyDiv w:val="1"/>
      <w:marLeft w:val="0"/>
      <w:marRight w:val="0"/>
      <w:marTop w:val="0"/>
      <w:marBottom w:val="0"/>
      <w:divBdr>
        <w:top w:val="none" w:sz="0" w:space="0" w:color="auto"/>
        <w:left w:val="none" w:sz="0" w:space="0" w:color="auto"/>
        <w:bottom w:val="none" w:sz="0" w:space="0" w:color="auto"/>
        <w:right w:val="none" w:sz="0" w:space="0" w:color="auto"/>
      </w:divBdr>
    </w:div>
    <w:div w:id="1143615547">
      <w:bodyDiv w:val="1"/>
      <w:marLeft w:val="0"/>
      <w:marRight w:val="0"/>
      <w:marTop w:val="0"/>
      <w:marBottom w:val="0"/>
      <w:divBdr>
        <w:top w:val="none" w:sz="0" w:space="0" w:color="auto"/>
        <w:left w:val="none" w:sz="0" w:space="0" w:color="auto"/>
        <w:bottom w:val="none" w:sz="0" w:space="0" w:color="auto"/>
        <w:right w:val="none" w:sz="0" w:space="0" w:color="auto"/>
      </w:divBdr>
    </w:div>
    <w:div w:id="1143734666">
      <w:bodyDiv w:val="1"/>
      <w:marLeft w:val="0"/>
      <w:marRight w:val="0"/>
      <w:marTop w:val="0"/>
      <w:marBottom w:val="0"/>
      <w:divBdr>
        <w:top w:val="none" w:sz="0" w:space="0" w:color="auto"/>
        <w:left w:val="none" w:sz="0" w:space="0" w:color="auto"/>
        <w:bottom w:val="none" w:sz="0" w:space="0" w:color="auto"/>
        <w:right w:val="none" w:sz="0" w:space="0" w:color="auto"/>
      </w:divBdr>
    </w:div>
    <w:div w:id="1151487929">
      <w:bodyDiv w:val="1"/>
      <w:marLeft w:val="0"/>
      <w:marRight w:val="0"/>
      <w:marTop w:val="0"/>
      <w:marBottom w:val="0"/>
      <w:divBdr>
        <w:top w:val="none" w:sz="0" w:space="0" w:color="auto"/>
        <w:left w:val="none" w:sz="0" w:space="0" w:color="auto"/>
        <w:bottom w:val="none" w:sz="0" w:space="0" w:color="auto"/>
        <w:right w:val="none" w:sz="0" w:space="0" w:color="auto"/>
      </w:divBdr>
    </w:div>
    <w:div w:id="1161317089">
      <w:bodyDiv w:val="1"/>
      <w:marLeft w:val="0"/>
      <w:marRight w:val="0"/>
      <w:marTop w:val="0"/>
      <w:marBottom w:val="0"/>
      <w:divBdr>
        <w:top w:val="none" w:sz="0" w:space="0" w:color="auto"/>
        <w:left w:val="none" w:sz="0" w:space="0" w:color="auto"/>
        <w:bottom w:val="none" w:sz="0" w:space="0" w:color="auto"/>
        <w:right w:val="none" w:sz="0" w:space="0" w:color="auto"/>
      </w:divBdr>
    </w:div>
    <w:div w:id="1162354810">
      <w:bodyDiv w:val="1"/>
      <w:marLeft w:val="0"/>
      <w:marRight w:val="0"/>
      <w:marTop w:val="0"/>
      <w:marBottom w:val="0"/>
      <w:divBdr>
        <w:top w:val="none" w:sz="0" w:space="0" w:color="auto"/>
        <w:left w:val="none" w:sz="0" w:space="0" w:color="auto"/>
        <w:bottom w:val="none" w:sz="0" w:space="0" w:color="auto"/>
        <w:right w:val="none" w:sz="0" w:space="0" w:color="auto"/>
      </w:divBdr>
    </w:div>
    <w:div w:id="1167936242">
      <w:bodyDiv w:val="1"/>
      <w:marLeft w:val="0"/>
      <w:marRight w:val="0"/>
      <w:marTop w:val="0"/>
      <w:marBottom w:val="0"/>
      <w:divBdr>
        <w:top w:val="none" w:sz="0" w:space="0" w:color="auto"/>
        <w:left w:val="none" w:sz="0" w:space="0" w:color="auto"/>
        <w:bottom w:val="none" w:sz="0" w:space="0" w:color="auto"/>
        <w:right w:val="none" w:sz="0" w:space="0" w:color="auto"/>
      </w:divBdr>
    </w:div>
    <w:div w:id="1168055112">
      <w:bodyDiv w:val="1"/>
      <w:marLeft w:val="0"/>
      <w:marRight w:val="0"/>
      <w:marTop w:val="0"/>
      <w:marBottom w:val="0"/>
      <w:divBdr>
        <w:top w:val="none" w:sz="0" w:space="0" w:color="auto"/>
        <w:left w:val="none" w:sz="0" w:space="0" w:color="auto"/>
        <w:bottom w:val="none" w:sz="0" w:space="0" w:color="auto"/>
        <w:right w:val="none" w:sz="0" w:space="0" w:color="auto"/>
      </w:divBdr>
    </w:div>
    <w:div w:id="1169636983">
      <w:bodyDiv w:val="1"/>
      <w:marLeft w:val="0"/>
      <w:marRight w:val="0"/>
      <w:marTop w:val="0"/>
      <w:marBottom w:val="0"/>
      <w:divBdr>
        <w:top w:val="none" w:sz="0" w:space="0" w:color="auto"/>
        <w:left w:val="none" w:sz="0" w:space="0" w:color="auto"/>
        <w:bottom w:val="none" w:sz="0" w:space="0" w:color="auto"/>
        <w:right w:val="none" w:sz="0" w:space="0" w:color="auto"/>
      </w:divBdr>
    </w:div>
    <w:div w:id="1170564525">
      <w:bodyDiv w:val="1"/>
      <w:marLeft w:val="0"/>
      <w:marRight w:val="0"/>
      <w:marTop w:val="0"/>
      <w:marBottom w:val="0"/>
      <w:divBdr>
        <w:top w:val="none" w:sz="0" w:space="0" w:color="auto"/>
        <w:left w:val="none" w:sz="0" w:space="0" w:color="auto"/>
        <w:bottom w:val="none" w:sz="0" w:space="0" w:color="auto"/>
        <w:right w:val="none" w:sz="0" w:space="0" w:color="auto"/>
      </w:divBdr>
    </w:div>
    <w:div w:id="1176385742">
      <w:bodyDiv w:val="1"/>
      <w:marLeft w:val="0"/>
      <w:marRight w:val="0"/>
      <w:marTop w:val="0"/>
      <w:marBottom w:val="0"/>
      <w:divBdr>
        <w:top w:val="none" w:sz="0" w:space="0" w:color="auto"/>
        <w:left w:val="none" w:sz="0" w:space="0" w:color="auto"/>
        <w:bottom w:val="none" w:sz="0" w:space="0" w:color="auto"/>
        <w:right w:val="none" w:sz="0" w:space="0" w:color="auto"/>
      </w:divBdr>
    </w:div>
    <w:div w:id="1179001292">
      <w:bodyDiv w:val="1"/>
      <w:marLeft w:val="0"/>
      <w:marRight w:val="0"/>
      <w:marTop w:val="0"/>
      <w:marBottom w:val="0"/>
      <w:divBdr>
        <w:top w:val="none" w:sz="0" w:space="0" w:color="auto"/>
        <w:left w:val="none" w:sz="0" w:space="0" w:color="auto"/>
        <w:bottom w:val="none" w:sz="0" w:space="0" w:color="auto"/>
        <w:right w:val="none" w:sz="0" w:space="0" w:color="auto"/>
      </w:divBdr>
    </w:div>
    <w:div w:id="1180466046">
      <w:bodyDiv w:val="1"/>
      <w:marLeft w:val="0"/>
      <w:marRight w:val="0"/>
      <w:marTop w:val="0"/>
      <w:marBottom w:val="0"/>
      <w:divBdr>
        <w:top w:val="none" w:sz="0" w:space="0" w:color="auto"/>
        <w:left w:val="none" w:sz="0" w:space="0" w:color="auto"/>
        <w:bottom w:val="none" w:sz="0" w:space="0" w:color="auto"/>
        <w:right w:val="none" w:sz="0" w:space="0" w:color="auto"/>
      </w:divBdr>
    </w:div>
    <w:div w:id="1187720381">
      <w:bodyDiv w:val="1"/>
      <w:marLeft w:val="0"/>
      <w:marRight w:val="0"/>
      <w:marTop w:val="0"/>
      <w:marBottom w:val="0"/>
      <w:divBdr>
        <w:top w:val="none" w:sz="0" w:space="0" w:color="auto"/>
        <w:left w:val="none" w:sz="0" w:space="0" w:color="auto"/>
        <w:bottom w:val="none" w:sz="0" w:space="0" w:color="auto"/>
        <w:right w:val="none" w:sz="0" w:space="0" w:color="auto"/>
      </w:divBdr>
    </w:div>
    <w:div w:id="1190069138">
      <w:bodyDiv w:val="1"/>
      <w:marLeft w:val="0"/>
      <w:marRight w:val="0"/>
      <w:marTop w:val="0"/>
      <w:marBottom w:val="0"/>
      <w:divBdr>
        <w:top w:val="none" w:sz="0" w:space="0" w:color="auto"/>
        <w:left w:val="none" w:sz="0" w:space="0" w:color="auto"/>
        <w:bottom w:val="none" w:sz="0" w:space="0" w:color="auto"/>
        <w:right w:val="none" w:sz="0" w:space="0" w:color="auto"/>
      </w:divBdr>
    </w:div>
    <w:div w:id="1200164162">
      <w:bodyDiv w:val="1"/>
      <w:marLeft w:val="0"/>
      <w:marRight w:val="0"/>
      <w:marTop w:val="0"/>
      <w:marBottom w:val="0"/>
      <w:divBdr>
        <w:top w:val="none" w:sz="0" w:space="0" w:color="auto"/>
        <w:left w:val="none" w:sz="0" w:space="0" w:color="auto"/>
        <w:bottom w:val="none" w:sz="0" w:space="0" w:color="auto"/>
        <w:right w:val="none" w:sz="0" w:space="0" w:color="auto"/>
      </w:divBdr>
    </w:div>
    <w:div w:id="1205292961">
      <w:bodyDiv w:val="1"/>
      <w:marLeft w:val="0"/>
      <w:marRight w:val="0"/>
      <w:marTop w:val="0"/>
      <w:marBottom w:val="0"/>
      <w:divBdr>
        <w:top w:val="none" w:sz="0" w:space="0" w:color="auto"/>
        <w:left w:val="none" w:sz="0" w:space="0" w:color="auto"/>
        <w:bottom w:val="none" w:sz="0" w:space="0" w:color="auto"/>
        <w:right w:val="none" w:sz="0" w:space="0" w:color="auto"/>
      </w:divBdr>
    </w:div>
    <w:div w:id="1205943883">
      <w:bodyDiv w:val="1"/>
      <w:marLeft w:val="0"/>
      <w:marRight w:val="0"/>
      <w:marTop w:val="0"/>
      <w:marBottom w:val="0"/>
      <w:divBdr>
        <w:top w:val="none" w:sz="0" w:space="0" w:color="auto"/>
        <w:left w:val="none" w:sz="0" w:space="0" w:color="auto"/>
        <w:bottom w:val="none" w:sz="0" w:space="0" w:color="auto"/>
        <w:right w:val="none" w:sz="0" w:space="0" w:color="auto"/>
      </w:divBdr>
    </w:div>
    <w:div w:id="1212573135">
      <w:bodyDiv w:val="1"/>
      <w:marLeft w:val="0"/>
      <w:marRight w:val="0"/>
      <w:marTop w:val="0"/>
      <w:marBottom w:val="0"/>
      <w:divBdr>
        <w:top w:val="none" w:sz="0" w:space="0" w:color="auto"/>
        <w:left w:val="none" w:sz="0" w:space="0" w:color="auto"/>
        <w:bottom w:val="none" w:sz="0" w:space="0" w:color="auto"/>
        <w:right w:val="none" w:sz="0" w:space="0" w:color="auto"/>
      </w:divBdr>
    </w:div>
    <w:div w:id="1217084741">
      <w:bodyDiv w:val="1"/>
      <w:marLeft w:val="0"/>
      <w:marRight w:val="0"/>
      <w:marTop w:val="0"/>
      <w:marBottom w:val="0"/>
      <w:divBdr>
        <w:top w:val="none" w:sz="0" w:space="0" w:color="auto"/>
        <w:left w:val="none" w:sz="0" w:space="0" w:color="auto"/>
        <w:bottom w:val="none" w:sz="0" w:space="0" w:color="auto"/>
        <w:right w:val="none" w:sz="0" w:space="0" w:color="auto"/>
      </w:divBdr>
    </w:div>
    <w:div w:id="1218931359">
      <w:bodyDiv w:val="1"/>
      <w:marLeft w:val="0"/>
      <w:marRight w:val="0"/>
      <w:marTop w:val="0"/>
      <w:marBottom w:val="0"/>
      <w:divBdr>
        <w:top w:val="none" w:sz="0" w:space="0" w:color="auto"/>
        <w:left w:val="none" w:sz="0" w:space="0" w:color="auto"/>
        <w:bottom w:val="none" w:sz="0" w:space="0" w:color="auto"/>
        <w:right w:val="none" w:sz="0" w:space="0" w:color="auto"/>
      </w:divBdr>
    </w:div>
    <w:div w:id="1222865830">
      <w:bodyDiv w:val="1"/>
      <w:marLeft w:val="0"/>
      <w:marRight w:val="0"/>
      <w:marTop w:val="0"/>
      <w:marBottom w:val="0"/>
      <w:divBdr>
        <w:top w:val="none" w:sz="0" w:space="0" w:color="auto"/>
        <w:left w:val="none" w:sz="0" w:space="0" w:color="auto"/>
        <w:bottom w:val="none" w:sz="0" w:space="0" w:color="auto"/>
        <w:right w:val="none" w:sz="0" w:space="0" w:color="auto"/>
      </w:divBdr>
    </w:div>
    <w:div w:id="1223101692">
      <w:bodyDiv w:val="1"/>
      <w:marLeft w:val="0"/>
      <w:marRight w:val="0"/>
      <w:marTop w:val="0"/>
      <w:marBottom w:val="0"/>
      <w:divBdr>
        <w:top w:val="none" w:sz="0" w:space="0" w:color="auto"/>
        <w:left w:val="none" w:sz="0" w:space="0" w:color="auto"/>
        <w:bottom w:val="none" w:sz="0" w:space="0" w:color="auto"/>
        <w:right w:val="none" w:sz="0" w:space="0" w:color="auto"/>
      </w:divBdr>
    </w:div>
    <w:div w:id="1226069645">
      <w:bodyDiv w:val="1"/>
      <w:marLeft w:val="0"/>
      <w:marRight w:val="0"/>
      <w:marTop w:val="0"/>
      <w:marBottom w:val="0"/>
      <w:divBdr>
        <w:top w:val="none" w:sz="0" w:space="0" w:color="auto"/>
        <w:left w:val="none" w:sz="0" w:space="0" w:color="auto"/>
        <w:bottom w:val="none" w:sz="0" w:space="0" w:color="auto"/>
        <w:right w:val="none" w:sz="0" w:space="0" w:color="auto"/>
      </w:divBdr>
    </w:div>
    <w:div w:id="1228106996">
      <w:bodyDiv w:val="1"/>
      <w:marLeft w:val="0"/>
      <w:marRight w:val="0"/>
      <w:marTop w:val="0"/>
      <w:marBottom w:val="0"/>
      <w:divBdr>
        <w:top w:val="none" w:sz="0" w:space="0" w:color="auto"/>
        <w:left w:val="none" w:sz="0" w:space="0" w:color="auto"/>
        <w:bottom w:val="none" w:sz="0" w:space="0" w:color="auto"/>
        <w:right w:val="none" w:sz="0" w:space="0" w:color="auto"/>
      </w:divBdr>
    </w:div>
    <w:div w:id="1228490437">
      <w:bodyDiv w:val="1"/>
      <w:marLeft w:val="0"/>
      <w:marRight w:val="0"/>
      <w:marTop w:val="0"/>
      <w:marBottom w:val="0"/>
      <w:divBdr>
        <w:top w:val="none" w:sz="0" w:space="0" w:color="auto"/>
        <w:left w:val="none" w:sz="0" w:space="0" w:color="auto"/>
        <w:bottom w:val="none" w:sz="0" w:space="0" w:color="auto"/>
        <w:right w:val="none" w:sz="0" w:space="0" w:color="auto"/>
      </w:divBdr>
    </w:div>
    <w:div w:id="1228685761">
      <w:bodyDiv w:val="1"/>
      <w:marLeft w:val="0"/>
      <w:marRight w:val="0"/>
      <w:marTop w:val="0"/>
      <w:marBottom w:val="0"/>
      <w:divBdr>
        <w:top w:val="none" w:sz="0" w:space="0" w:color="auto"/>
        <w:left w:val="none" w:sz="0" w:space="0" w:color="auto"/>
        <w:bottom w:val="none" w:sz="0" w:space="0" w:color="auto"/>
        <w:right w:val="none" w:sz="0" w:space="0" w:color="auto"/>
      </w:divBdr>
    </w:div>
    <w:div w:id="1230843509">
      <w:bodyDiv w:val="1"/>
      <w:marLeft w:val="0"/>
      <w:marRight w:val="0"/>
      <w:marTop w:val="0"/>
      <w:marBottom w:val="0"/>
      <w:divBdr>
        <w:top w:val="none" w:sz="0" w:space="0" w:color="auto"/>
        <w:left w:val="none" w:sz="0" w:space="0" w:color="auto"/>
        <w:bottom w:val="none" w:sz="0" w:space="0" w:color="auto"/>
        <w:right w:val="none" w:sz="0" w:space="0" w:color="auto"/>
      </w:divBdr>
    </w:div>
    <w:div w:id="1230992095">
      <w:bodyDiv w:val="1"/>
      <w:marLeft w:val="0"/>
      <w:marRight w:val="0"/>
      <w:marTop w:val="0"/>
      <w:marBottom w:val="0"/>
      <w:divBdr>
        <w:top w:val="none" w:sz="0" w:space="0" w:color="auto"/>
        <w:left w:val="none" w:sz="0" w:space="0" w:color="auto"/>
        <w:bottom w:val="none" w:sz="0" w:space="0" w:color="auto"/>
        <w:right w:val="none" w:sz="0" w:space="0" w:color="auto"/>
      </w:divBdr>
    </w:div>
    <w:div w:id="1240596909">
      <w:bodyDiv w:val="1"/>
      <w:marLeft w:val="0"/>
      <w:marRight w:val="0"/>
      <w:marTop w:val="0"/>
      <w:marBottom w:val="0"/>
      <w:divBdr>
        <w:top w:val="none" w:sz="0" w:space="0" w:color="auto"/>
        <w:left w:val="none" w:sz="0" w:space="0" w:color="auto"/>
        <w:bottom w:val="none" w:sz="0" w:space="0" w:color="auto"/>
        <w:right w:val="none" w:sz="0" w:space="0" w:color="auto"/>
      </w:divBdr>
    </w:div>
    <w:div w:id="1246494801">
      <w:bodyDiv w:val="1"/>
      <w:marLeft w:val="0"/>
      <w:marRight w:val="0"/>
      <w:marTop w:val="0"/>
      <w:marBottom w:val="0"/>
      <w:divBdr>
        <w:top w:val="none" w:sz="0" w:space="0" w:color="auto"/>
        <w:left w:val="none" w:sz="0" w:space="0" w:color="auto"/>
        <w:bottom w:val="none" w:sz="0" w:space="0" w:color="auto"/>
        <w:right w:val="none" w:sz="0" w:space="0" w:color="auto"/>
      </w:divBdr>
    </w:div>
    <w:div w:id="1254513610">
      <w:bodyDiv w:val="1"/>
      <w:marLeft w:val="0"/>
      <w:marRight w:val="0"/>
      <w:marTop w:val="0"/>
      <w:marBottom w:val="0"/>
      <w:divBdr>
        <w:top w:val="none" w:sz="0" w:space="0" w:color="auto"/>
        <w:left w:val="none" w:sz="0" w:space="0" w:color="auto"/>
        <w:bottom w:val="none" w:sz="0" w:space="0" w:color="auto"/>
        <w:right w:val="none" w:sz="0" w:space="0" w:color="auto"/>
      </w:divBdr>
    </w:div>
    <w:div w:id="1260866135">
      <w:bodyDiv w:val="1"/>
      <w:marLeft w:val="0"/>
      <w:marRight w:val="0"/>
      <w:marTop w:val="0"/>
      <w:marBottom w:val="0"/>
      <w:divBdr>
        <w:top w:val="none" w:sz="0" w:space="0" w:color="auto"/>
        <w:left w:val="none" w:sz="0" w:space="0" w:color="auto"/>
        <w:bottom w:val="none" w:sz="0" w:space="0" w:color="auto"/>
        <w:right w:val="none" w:sz="0" w:space="0" w:color="auto"/>
      </w:divBdr>
    </w:div>
    <w:div w:id="1264916944">
      <w:bodyDiv w:val="1"/>
      <w:marLeft w:val="0"/>
      <w:marRight w:val="0"/>
      <w:marTop w:val="0"/>
      <w:marBottom w:val="0"/>
      <w:divBdr>
        <w:top w:val="none" w:sz="0" w:space="0" w:color="auto"/>
        <w:left w:val="none" w:sz="0" w:space="0" w:color="auto"/>
        <w:bottom w:val="none" w:sz="0" w:space="0" w:color="auto"/>
        <w:right w:val="none" w:sz="0" w:space="0" w:color="auto"/>
      </w:divBdr>
    </w:div>
    <w:div w:id="1265379525">
      <w:bodyDiv w:val="1"/>
      <w:marLeft w:val="0"/>
      <w:marRight w:val="0"/>
      <w:marTop w:val="0"/>
      <w:marBottom w:val="0"/>
      <w:divBdr>
        <w:top w:val="none" w:sz="0" w:space="0" w:color="auto"/>
        <w:left w:val="none" w:sz="0" w:space="0" w:color="auto"/>
        <w:bottom w:val="none" w:sz="0" w:space="0" w:color="auto"/>
        <w:right w:val="none" w:sz="0" w:space="0" w:color="auto"/>
      </w:divBdr>
    </w:div>
    <w:div w:id="1270890325">
      <w:bodyDiv w:val="1"/>
      <w:marLeft w:val="0"/>
      <w:marRight w:val="0"/>
      <w:marTop w:val="0"/>
      <w:marBottom w:val="0"/>
      <w:divBdr>
        <w:top w:val="none" w:sz="0" w:space="0" w:color="auto"/>
        <w:left w:val="none" w:sz="0" w:space="0" w:color="auto"/>
        <w:bottom w:val="none" w:sz="0" w:space="0" w:color="auto"/>
        <w:right w:val="none" w:sz="0" w:space="0" w:color="auto"/>
      </w:divBdr>
    </w:div>
    <w:div w:id="1273629279">
      <w:bodyDiv w:val="1"/>
      <w:marLeft w:val="0"/>
      <w:marRight w:val="0"/>
      <w:marTop w:val="0"/>
      <w:marBottom w:val="0"/>
      <w:divBdr>
        <w:top w:val="none" w:sz="0" w:space="0" w:color="auto"/>
        <w:left w:val="none" w:sz="0" w:space="0" w:color="auto"/>
        <w:bottom w:val="none" w:sz="0" w:space="0" w:color="auto"/>
        <w:right w:val="none" w:sz="0" w:space="0" w:color="auto"/>
      </w:divBdr>
    </w:div>
    <w:div w:id="1273632895">
      <w:bodyDiv w:val="1"/>
      <w:marLeft w:val="0"/>
      <w:marRight w:val="0"/>
      <w:marTop w:val="0"/>
      <w:marBottom w:val="0"/>
      <w:divBdr>
        <w:top w:val="none" w:sz="0" w:space="0" w:color="auto"/>
        <w:left w:val="none" w:sz="0" w:space="0" w:color="auto"/>
        <w:bottom w:val="none" w:sz="0" w:space="0" w:color="auto"/>
        <w:right w:val="none" w:sz="0" w:space="0" w:color="auto"/>
      </w:divBdr>
    </w:div>
    <w:div w:id="1283531941">
      <w:bodyDiv w:val="1"/>
      <w:marLeft w:val="0"/>
      <w:marRight w:val="0"/>
      <w:marTop w:val="0"/>
      <w:marBottom w:val="0"/>
      <w:divBdr>
        <w:top w:val="none" w:sz="0" w:space="0" w:color="auto"/>
        <w:left w:val="none" w:sz="0" w:space="0" w:color="auto"/>
        <w:bottom w:val="none" w:sz="0" w:space="0" w:color="auto"/>
        <w:right w:val="none" w:sz="0" w:space="0" w:color="auto"/>
      </w:divBdr>
    </w:div>
    <w:div w:id="1291277695">
      <w:bodyDiv w:val="1"/>
      <w:marLeft w:val="0"/>
      <w:marRight w:val="0"/>
      <w:marTop w:val="0"/>
      <w:marBottom w:val="0"/>
      <w:divBdr>
        <w:top w:val="none" w:sz="0" w:space="0" w:color="auto"/>
        <w:left w:val="none" w:sz="0" w:space="0" w:color="auto"/>
        <w:bottom w:val="none" w:sz="0" w:space="0" w:color="auto"/>
        <w:right w:val="none" w:sz="0" w:space="0" w:color="auto"/>
      </w:divBdr>
    </w:div>
    <w:div w:id="1300300453">
      <w:bodyDiv w:val="1"/>
      <w:marLeft w:val="0"/>
      <w:marRight w:val="0"/>
      <w:marTop w:val="0"/>
      <w:marBottom w:val="0"/>
      <w:divBdr>
        <w:top w:val="none" w:sz="0" w:space="0" w:color="auto"/>
        <w:left w:val="none" w:sz="0" w:space="0" w:color="auto"/>
        <w:bottom w:val="none" w:sz="0" w:space="0" w:color="auto"/>
        <w:right w:val="none" w:sz="0" w:space="0" w:color="auto"/>
      </w:divBdr>
    </w:div>
    <w:div w:id="1303850667">
      <w:bodyDiv w:val="1"/>
      <w:marLeft w:val="0"/>
      <w:marRight w:val="0"/>
      <w:marTop w:val="0"/>
      <w:marBottom w:val="0"/>
      <w:divBdr>
        <w:top w:val="none" w:sz="0" w:space="0" w:color="auto"/>
        <w:left w:val="none" w:sz="0" w:space="0" w:color="auto"/>
        <w:bottom w:val="none" w:sz="0" w:space="0" w:color="auto"/>
        <w:right w:val="none" w:sz="0" w:space="0" w:color="auto"/>
      </w:divBdr>
    </w:div>
    <w:div w:id="1305502342">
      <w:bodyDiv w:val="1"/>
      <w:marLeft w:val="0"/>
      <w:marRight w:val="0"/>
      <w:marTop w:val="0"/>
      <w:marBottom w:val="0"/>
      <w:divBdr>
        <w:top w:val="none" w:sz="0" w:space="0" w:color="auto"/>
        <w:left w:val="none" w:sz="0" w:space="0" w:color="auto"/>
        <w:bottom w:val="none" w:sz="0" w:space="0" w:color="auto"/>
        <w:right w:val="none" w:sz="0" w:space="0" w:color="auto"/>
      </w:divBdr>
    </w:div>
    <w:div w:id="1315111721">
      <w:bodyDiv w:val="1"/>
      <w:marLeft w:val="0"/>
      <w:marRight w:val="0"/>
      <w:marTop w:val="0"/>
      <w:marBottom w:val="0"/>
      <w:divBdr>
        <w:top w:val="none" w:sz="0" w:space="0" w:color="auto"/>
        <w:left w:val="none" w:sz="0" w:space="0" w:color="auto"/>
        <w:bottom w:val="none" w:sz="0" w:space="0" w:color="auto"/>
        <w:right w:val="none" w:sz="0" w:space="0" w:color="auto"/>
      </w:divBdr>
    </w:div>
    <w:div w:id="1317415214">
      <w:bodyDiv w:val="1"/>
      <w:marLeft w:val="0"/>
      <w:marRight w:val="0"/>
      <w:marTop w:val="0"/>
      <w:marBottom w:val="0"/>
      <w:divBdr>
        <w:top w:val="none" w:sz="0" w:space="0" w:color="auto"/>
        <w:left w:val="none" w:sz="0" w:space="0" w:color="auto"/>
        <w:bottom w:val="none" w:sz="0" w:space="0" w:color="auto"/>
        <w:right w:val="none" w:sz="0" w:space="0" w:color="auto"/>
      </w:divBdr>
    </w:div>
    <w:div w:id="1320964659">
      <w:bodyDiv w:val="1"/>
      <w:marLeft w:val="0"/>
      <w:marRight w:val="0"/>
      <w:marTop w:val="0"/>
      <w:marBottom w:val="0"/>
      <w:divBdr>
        <w:top w:val="none" w:sz="0" w:space="0" w:color="auto"/>
        <w:left w:val="none" w:sz="0" w:space="0" w:color="auto"/>
        <w:bottom w:val="none" w:sz="0" w:space="0" w:color="auto"/>
        <w:right w:val="none" w:sz="0" w:space="0" w:color="auto"/>
      </w:divBdr>
    </w:div>
    <w:div w:id="1322805297">
      <w:bodyDiv w:val="1"/>
      <w:marLeft w:val="0"/>
      <w:marRight w:val="0"/>
      <w:marTop w:val="0"/>
      <w:marBottom w:val="0"/>
      <w:divBdr>
        <w:top w:val="none" w:sz="0" w:space="0" w:color="auto"/>
        <w:left w:val="none" w:sz="0" w:space="0" w:color="auto"/>
        <w:bottom w:val="none" w:sz="0" w:space="0" w:color="auto"/>
        <w:right w:val="none" w:sz="0" w:space="0" w:color="auto"/>
      </w:divBdr>
    </w:div>
    <w:div w:id="1328677736">
      <w:bodyDiv w:val="1"/>
      <w:marLeft w:val="0"/>
      <w:marRight w:val="0"/>
      <w:marTop w:val="0"/>
      <w:marBottom w:val="0"/>
      <w:divBdr>
        <w:top w:val="none" w:sz="0" w:space="0" w:color="auto"/>
        <w:left w:val="none" w:sz="0" w:space="0" w:color="auto"/>
        <w:bottom w:val="none" w:sz="0" w:space="0" w:color="auto"/>
        <w:right w:val="none" w:sz="0" w:space="0" w:color="auto"/>
      </w:divBdr>
    </w:div>
    <w:div w:id="1329359428">
      <w:bodyDiv w:val="1"/>
      <w:marLeft w:val="0"/>
      <w:marRight w:val="0"/>
      <w:marTop w:val="0"/>
      <w:marBottom w:val="0"/>
      <w:divBdr>
        <w:top w:val="none" w:sz="0" w:space="0" w:color="auto"/>
        <w:left w:val="none" w:sz="0" w:space="0" w:color="auto"/>
        <w:bottom w:val="none" w:sz="0" w:space="0" w:color="auto"/>
        <w:right w:val="none" w:sz="0" w:space="0" w:color="auto"/>
      </w:divBdr>
    </w:div>
    <w:div w:id="1332879776">
      <w:bodyDiv w:val="1"/>
      <w:marLeft w:val="0"/>
      <w:marRight w:val="0"/>
      <w:marTop w:val="0"/>
      <w:marBottom w:val="0"/>
      <w:divBdr>
        <w:top w:val="none" w:sz="0" w:space="0" w:color="auto"/>
        <w:left w:val="none" w:sz="0" w:space="0" w:color="auto"/>
        <w:bottom w:val="none" w:sz="0" w:space="0" w:color="auto"/>
        <w:right w:val="none" w:sz="0" w:space="0" w:color="auto"/>
      </w:divBdr>
    </w:div>
    <w:div w:id="1338313840">
      <w:bodyDiv w:val="1"/>
      <w:marLeft w:val="0"/>
      <w:marRight w:val="0"/>
      <w:marTop w:val="0"/>
      <w:marBottom w:val="0"/>
      <w:divBdr>
        <w:top w:val="none" w:sz="0" w:space="0" w:color="auto"/>
        <w:left w:val="none" w:sz="0" w:space="0" w:color="auto"/>
        <w:bottom w:val="none" w:sz="0" w:space="0" w:color="auto"/>
        <w:right w:val="none" w:sz="0" w:space="0" w:color="auto"/>
      </w:divBdr>
    </w:div>
    <w:div w:id="1341129295">
      <w:bodyDiv w:val="1"/>
      <w:marLeft w:val="0"/>
      <w:marRight w:val="0"/>
      <w:marTop w:val="0"/>
      <w:marBottom w:val="0"/>
      <w:divBdr>
        <w:top w:val="none" w:sz="0" w:space="0" w:color="auto"/>
        <w:left w:val="none" w:sz="0" w:space="0" w:color="auto"/>
        <w:bottom w:val="none" w:sz="0" w:space="0" w:color="auto"/>
        <w:right w:val="none" w:sz="0" w:space="0" w:color="auto"/>
      </w:divBdr>
    </w:div>
    <w:div w:id="1341855150">
      <w:bodyDiv w:val="1"/>
      <w:marLeft w:val="0"/>
      <w:marRight w:val="0"/>
      <w:marTop w:val="0"/>
      <w:marBottom w:val="0"/>
      <w:divBdr>
        <w:top w:val="none" w:sz="0" w:space="0" w:color="auto"/>
        <w:left w:val="none" w:sz="0" w:space="0" w:color="auto"/>
        <w:bottom w:val="none" w:sz="0" w:space="0" w:color="auto"/>
        <w:right w:val="none" w:sz="0" w:space="0" w:color="auto"/>
      </w:divBdr>
    </w:div>
    <w:div w:id="1351109343">
      <w:bodyDiv w:val="1"/>
      <w:marLeft w:val="0"/>
      <w:marRight w:val="0"/>
      <w:marTop w:val="0"/>
      <w:marBottom w:val="0"/>
      <w:divBdr>
        <w:top w:val="none" w:sz="0" w:space="0" w:color="auto"/>
        <w:left w:val="none" w:sz="0" w:space="0" w:color="auto"/>
        <w:bottom w:val="none" w:sz="0" w:space="0" w:color="auto"/>
        <w:right w:val="none" w:sz="0" w:space="0" w:color="auto"/>
      </w:divBdr>
    </w:div>
    <w:div w:id="1357779794">
      <w:bodyDiv w:val="1"/>
      <w:marLeft w:val="0"/>
      <w:marRight w:val="0"/>
      <w:marTop w:val="0"/>
      <w:marBottom w:val="0"/>
      <w:divBdr>
        <w:top w:val="none" w:sz="0" w:space="0" w:color="auto"/>
        <w:left w:val="none" w:sz="0" w:space="0" w:color="auto"/>
        <w:bottom w:val="none" w:sz="0" w:space="0" w:color="auto"/>
        <w:right w:val="none" w:sz="0" w:space="0" w:color="auto"/>
      </w:divBdr>
    </w:div>
    <w:div w:id="1359231685">
      <w:bodyDiv w:val="1"/>
      <w:marLeft w:val="0"/>
      <w:marRight w:val="0"/>
      <w:marTop w:val="0"/>
      <w:marBottom w:val="0"/>
      <w:divBdr>
        <w:top w:val="none" w:sz="0" w:space="0" w:color="auto"/>
        <w:left w:val="none" w:sz="0" w:space="0" w:color="auto"/>
        <w:bottom w:val="none" w:sz="0" w:space="0" w:color="auto"/>
        <w:right w:val="none" w:sz="0" w:space="0" w:color="auto"/>
      </w:divBdr>
    </w:div>
    <w:div w:id="1361665751">
      <w:bodyDiv w:val="1"/>
      <w:marLeft w:val="0"/>
      <w:marRight w:val="0"/>
      <w:marTop w:val="0"/>
      <w:marBottom w:val="0"/>
      <w:divBdr>
        <w:top w:val="none" w:sz="0" w:space="0" w:color="auto"/>
        <w:left w:val="none" w:sz="0" w:space="0" w:color="auto"/>
        <w:bottom w:val="none" w:sz="0" w:space="0" w:color="auto"/>
        <w:right w:val="none" w:sz="0" w:space="0" w:color="auto"/>
      </w:divBdr>
    </w:div>
    <w:div w:id="1367682981">
      <w:bodyDiv w:val="1"/>
      <w:marLeft w:val="0"/>
      <w:marRight w:val="0"/>
      <w:marTop w:val="0"/>
      <w:marBottom w:val="0"/>
      <w:divBdr>
        <w:top w:val="none" w:sz="0" w:space="0" w:color="auto"/>
        <w:left w:val="none" w:sz="0" w:space="0" w:color="auto"/>
        <w:bottom w:val="none" w:sz="0" w:space="0" w:color="auto"/>
        <w:right w:val="none" w:sz="0" w:space="0" w:color="auto"/>
      </w:divBdr>
    </w:div>
    <w:div w:id="1372194069">
      <w:bodyDiv w:val="1"/>
      <w:marLeft w:val="0"/>
      <w:marRight w:val="0"/>
      <w:marTop w:val="0"/>
      <w:marBottom w:val="0"/>
      <w:divBdr>
        <w:top w:val="none" w:sz="0" w:space="0" w:color="auto"/>
        <w:left w:val="none" w:sz="0" w:space="0" w:color="auto"/>
        <w:bottom w:val="none" w:sz="0" w:space="0" w:color="auto"/>
        <w:right w:val="none" w:sz="0" w:space="0" w:color="auto"/>
      </w:divBdr>
    </w:div>
    <w:div w:id="1372998251">
      <w:bodyDiv w:val="1"/>
      <w:marLeft w:val="0"/>
      <w:marRight w:val="0"/>
      <w:marTop w:val="0"/>
      <w:marBottom w:val="0"/>
      <w:divBdr>
        <w:top w:val="none" w:sz="0" w:space="0" w:color="auto"/>
        <w:left w:val="none" w:sz="0" w:space="0" w:color="auto"/>
        <w:bottom w:val="none" w:sz="0" w:space="0" w:color="auto"/>
        <w:right w:val="none" w:sz="0" w:space="0" w:color="auto"/>
      </w:divBdr>
    </w:div>
    <w:div w:id="1375616183">
      <w:bodyDiv w:val="1"/>
      <w:marLeft w:val="0"/>
      <w:marRight w:val="0"/>
      <w:marTop w:val="0"/>
      <w:marBottom w:val="0"/>
      <w:divBdr>
        <w:top w:val="none" w:sz="0" w:space="0" w:color="auto"/>
        <w:left w:val="none" w:sz="0" w:space="0" w:color="auto"/>
        <w:bottom w:val="none" w:sz="0" w:space="0" w:color="auto"/>
        <w:right w:val="none" w:sz="0" w:space="0" w:color="auto"/>
      </w:divBdr>
    </w:div>
    <w:div w:id="1379084567">
      <w:bodyDiv w:val="1"/>
      <w:marLeft w:val="0"/>
      <w:marRight w:val="0"/>
      <w:marTop w:val="0"/>
      <w:marBottom w:val="0"/>
      <w:divBdr>
        <w:top w:val="none" w:sz="0" w:space="0" w:color="auto"/>
        <w:left w:val="none" w:sz="0" w:space="0" w:color="auto"/>
        <w:bottom w:val="none" w:sz="0" w:space="0" w:color="auto"/>
        <w:right w:val="none" w:sz="0" w:space="0" w:color="auto"/>
      </w:divBdr>
    </w:div>
    <w:div w:id="1380397647">
      <w:bodyDiv w:val="1"/>
      <w:marLeft w:val="0"/>
      <w:marRight w:val="0"/>
      <w:marTop w:val="0"/>
      <w:marBottom w:val="0"/>
      <w:divBdr>
        <w:top w:val="none" w:sz="0" w:space="0" w:color="auto"/>
        <w:left w:val="none" w:sz="0" w:space="0" w:color="auto"/>
        <w:bottom w:val="none" w:sz="0" w:space="0" w:color="auto"/>
        <w:right w:val="none" w:sz="0" w:space="0" w:color="auto"/>
      </w:divBdr>
    </w:div>
    <w:div w:id="1380548438">
      <w:bodyDiv w:val="1"/>
      <w:marLeft w:val="0"/>
      <w:marRight w:val="0"/>
      <w:marTop w:val="0"/>
      <w:marBottom w:val="0"/>
      <w:divBdr>
        <w:top w:val="none" w:sz="0" w:space="0" w:color="auto"/>
        <w:left w:val="none" w:sz="0" w:space="0" w:color="auto"/>
        <w:bottom w:val="none" w:sz="0" w:space="0" w:color="auto"/>
        <w:right w:val="none" w:sz="0" w:space="0" w:color="auto"/>
      </w:divBdr>
    </w:div>
    <w:div w:id="1398162786">
      <w:bodyDiv w:val="1"/>
      <w:marLeft w:val="0"/>
      <w:marRight w:val="0"/>
      <w:marTop w:val="0"/>
      <w:marBottom w:val="0"/>
      <w:divBdr>
        <w:top w:val="none" w:sz="0" w:space="0" w:color="auto"/>
        <w:left w:val="none" w:sz="0" w:space="0" w:color="auto"/>
        <w:bottom w:val="none" w:sz="0" w:space="0" w:color="auto"/>
        <w:right w:val="none" w:sz="0" w:space="0" w:color="auto"/>
      </w:divBdr>
    </w:div>
    <w:div w:id="1401364125">
      <w:bodyDiv w:val="1"/>
      <w:marLeft w:val="0"/>
      <w:marRight w:val="0"/>
      <w:marTop w:val="0"/>
      <w:marBottom w:val="0"/>
      <w:divBdr>
        <w:top w:val="none" w:sz="0" w:space="0" w:color="auto"/>
        <w:left w:val="none" w:sz="0" w:space="0" w:color="auto"/>
        <w:bottom w:val="none" w:sz="0" w:space="0" w:color="auto"/>
        <w:right w:val="none" w:sz="0" w:space="0" w:color="auto"/>
      </w:divBdr>
    </w:div>
    <w:div w:id="1401631801">
      <w:bodyDiv w:val="1"/>
      <w:marLeft w:val="0"/>
      <w:marRight w:val="0"/>
      <w:marTop w:val="0"/>
      <w:marBottom w:val="0"/>
      <w:divBdr>
        <w:top w:val="none" w:sz="0" w:space="0" w:color="auto"/>
        <w:left w:val="none" w:sz="0" w:space="0" w:color="auto"/>
        <w:bottom w:val="none" w:sz="0" w:space="0" w:color="auto"/>
        <w:right w:val="none" w:sz="0" w:space="0" w:color="auto"/>
      </w:divBdr>
    </w:div>
    <w:div w:id="1403915699">
      <w:bodyDiv w:val="1"/>
      <w:marLeft w:val="0"/>
      <w:marRight w:val="0"/>
      <w:marTop w:val="0"/>
      <w:marBottom w:val="0"/>
      <w:divBdr>
        <w:top w:val="none" w:sz="0" w:space="0" w:color="auto"/>
        <w:left w:val="none" w:sz="0" w:space="0" w:color="auto"/>
        <w:bottom w:val="none" w:sz="0" w:space="0" w:color="auto"/>
        <w:right w:val="none" w:sz="0" w:space="0" w:color="auto"/>
      </w:divBdr>
    </w:div>
    <w:div w:id="1407992641">
      <w:bodyDiv w:val="1"/>
      <w:marLeft w:val="0"/>
      <w:marRight w:val="0"/>
      <w:marTop w:val="0"/>
      <w:marBottom w:val="0"/>
      <w:divBdr>
        <w:top w:val="none" w:sz="0" w:space="0" w:color="auto"/>
        <w:left w:val="none" w:sz="0" w:space="0" w:color="auto"/>
        <w:bottom w:val="none" w:sz="0" w:space="0" w:color="auto"/>
        <w:right w:val="none" w:sz="0" w:space="0" w:color="auto"/>
      </w:divBdr>
    </w:div>
    <w:div w:id="1414931829">
      <w:bodyDiv w:val="1"/>
      <w:marLeft w:val="0"/>
      <w:marRight w:val="0"/>
      <w:marTop w:val="0"/>
      <w:marBottom w:val="0"/>
      <w:divBdr>
        <w:top w:val="none" w:sz="0" w:space="0" w:color="auto"/>
        <w:left w:val="none" w:sz="0" w:space="0" w:color="auto"/>
        <w:bottom w:val="none" w:sz="0" w:space="0" w:color="auto"/>
        <w:right w:val="none" w:sz="0" w:space="0" w:color="auto"/>
      </w:divBdr>
    </w:div>
    <w:div w:id="1417895043">
      <w:bodyDiv w:val="1"/>
      <w:marLeft w:val="0"/>
      <w:marRight w:val="0"/>
      <w:marTop w:val="0"/>
      <w:marBottom w:val="0"/>
      <w:divBdr>
        <w:top w:val="none" w:sz="0" w:space="0" w:color="auto"/>
        <w:left w:val="none" w:sz="0" w:space="0" w:color="auto"/>
        <w:bottom w:val="none" w:sz="0" w:space="0" w:color="auto"/>
        <w:right w:val="none" w:sz="0" w:space="0" w:color="auto"/>
      </w:divBdr>
    </w:div>
    <w:div w:id="1422138587">
      <w:bodyDiv w:val="1"/>
      <w:marLeft w:val="0"/>
      <w:marRight w:val="0"/>
      <w:marTop w:val="0"/>
      <w:marBottom w:val="0"/>
      <w:divBdr>
        <w:top w:val="none" w:sz="0" w:space="0" w:color="auto"/>
        <w:left w:val="none" w:sz="0" w:space="0" w:color="auto"/>
        <w:bottom w:val="none" w:sz="0" w:space="0" w:color="auto"/>
        <w:right w:val="none" w:sz="0" w:space="0" w:color="auto"/>
      </w:divBdr>
    </w:div>
    <w:div w:id="1425229797">
      <w:bodyDiv w:val="1"/>
      <w:marLeft w:val="0"/>
      <w:marRight w:val="0"/>
      <w:marTop w:val="0"/>
      <w:marBottom w:val="0"/>
      <w:divBdr>
        <w:top w:val="none" w:sz="0" w:space="0" w:color="auto"/>
        <w:left w:val="none" w:sz="0" w:space="0" w:color="auto"/>
        <w:bottom w:val="none" w:sz="0" w:space="0" w:color="auto"/>
        <w:right w:val="none" w:sz="0" w:space="0" w:color="auto"/>
      </w:divBdr>
    </w:div>
    <w:div w:id="1427577861">
      <w:bodyDiv w:val="1"/>
      <w:marLeft w:val="0"/>
      <w:marRight w:val="0"/>
      <w:marTop w:val="0"/>
      <w:marBottom w:val="0"/>
      <w:divBdr>
        <w:top w:val="none" w:sz="0" w:space="0" w:color="auto"/>
        <w:left w:val="none" w:sz="0" w:space="0" w:color="auto"/>
        <w:bottom w:val="none" w:sz="0" w:space="0" w:color="auto"/>
        <w:right w:val="none" w:sz="0" w:space="0" w:color="auto"/>
      </w:divBdr>
    </w:div>
    <w:div w:id="1428188310">
      <w:bodyDiv w:val="1"/>
      <w:marLeft w:val="0"/>
      <w:marRight w:val="0"/>
      <w:marTop w:val="0"/>
      <w:marBottom w:val="0"/>
      <w:divBdr>
        <w:top w:val="none" w:sz="0" w:space="0" w:color="auto"/>
        <w:left w:val="none" w:sz="0" w:space="0" w:color="auto"/>
        <w:bottom w:val="none" w:sz="0" w:space="0" w:color="auto"/>
        <w:right w:val="none" w:sz="0" w:space="0" w:color="auto"/>
      </w:divBdr>
    </w:div>
    <w:div w:id="1436826027">
      <w:bodyDiv w:val="1"/>
      <w:marLeft w:val="0"/>
      <w:marRight w:val="0"/>
      <w:marTop w:val="0"/>
      <w:marBottom w:val="0"/>
      <w:divBdr>
        <w:top w:val="none" w:sz="0" w:space="0" w:color="auto"/>
        <w:left w:val="none" w:sz="0" w:space="0" w:color="auto"/>
        <w:bottom w:val="none" w:sz="0" w:space="0" w:color="auto"/>
        <w:right w:val="none" w:sz="0" w:space="0" w:color="auto"/>
      </w:divBdr>
    </w:div>
    <w:div w:id="1438672877">
      <w:bodyDiv w:val="1"/>
      <w:marLeft w:val="0"/>
      <w:marRight w:val="0"/>
      <w:marTop w:val="0"/>
      <w:marBottom w:val="0"/>
      <w:divBdr>
        <w:top w:val="none" w:sz="0" w:space="0" w:color="auto"/>
        <w:left w:val="none" w:sz="0" w:space="0" w:color="auto"/>
        <w:bottom w:val="none" w:sz="0" w:space="0" w:color="auto"/>
        <w:right w:val="none" w:sz="0" w:space="0" w:color="auto"/>
      </w:divBdr>
    </w:div>
    <w:div w:id="1445152137">
      <w:bodyDiv w:val="1"/>
      <w:marLeft w:val="0"/>
      <w:marRight w:val="0"/>
      <w:marTop w:val="0"/>
      <w:marBottom w:val="0"/>
      <w:divBdr>
        <w:top w:val="none" w:sz="0" w:space="0" w:color="auto"/>
        <w:left w:val="none" w:sz="0" w:space="0" w:color="auto"/>
        <w:bottom w:val="none" w:sz="0" w:space="0" w:color="auto"/>
        <w:right w:val="none" w:sz="0" w:space="0" w:color="auto"/>
      </w:divBdr>
    </w:div>
    <w:div w:id="1445463276">
      <w:bodyDiv w:val="1"/>
      <w:marLeft w:val="0"/>
      <w:marRight w:val="0"/>
      <w:marTop w:val="0"/>
      <w:marBottom w:val="0"/>
      <w:divBdr>
        <w:top w:val="none" w:sz="0" w:space="0" w:color="auto"/>
        <w:left w:val="none" w:sz="0" w:space="0" w:color="auto"/>
        <w:bottom w:val="none" w:sz="0" w:space="0" w:color="auto"/>
        <w:right w:val="none" w:sz="0" w:space="0" w:color="auto"/>
      </w:divBdr>
    </w:div>
    <w:div w:id="1449858017">
      <w:bodyDiv w:val="1"/>
      <w:marLeft w:val="0"/>
      <w:marRight w:val="0"/>
      <w:marTop w:val="0"/>
      <w:marBottom w:val="0"/>
      <w:divBdr>
        <w:top w:val="none" w:sz="0" w:space="0" w:color="auto"/>
        <w:left w:val="none" w:sz="0" w:space="0" w:color="auto"/>
        <w:bottom w:val="none" w:sz="0" w:space="0" w:color="auto"/>
        <w:right w:val="none" w:sz="0" w:space="0" w:color="auto"/>
      </w:divBdr>
    </w:div>
    <w:div w:id="1450540409">
      <w:bodyDiv w:val="1"/>
      <w:marLeft w:val="0"/>
      <w:marRight w:val="0"/>
      <w:marTop w:val="0"/>
      <w:marBottom w:val="0"/>
      <w:divBdr>
        <w:top w:val="none" w:sz="0" w:space="0" w:color="auto"/>
        <w:left w:val="none" w:sz="0" w:space="0" w:color="auto"/>
        <w:bottom w:val="none" w:sz="0" w:space="0" w:color="auto"/>
        <w:right w:val="none" w:sz="0" w:space="0" w:color="auto"/>
      </w:divBdr>
    </w:div>
    <w:div w:id="1452549451">
      <w:bodyDiv w:val="1"/>
      <w:marLeft w:val="0"/>
      <w:marRight w:val="0"/>
      <w:marTop w:val="0"/>
      <w:marBottom w:val="0"/>
      <w:divBdr>
        <w:top w:val="none" w:sz="0" w:space="0" w:color="auto"/>
        <w:left w:val="none" w:sz="0" w:space="0" w:color="auto"/>
        <w:bottom w:val="none" w:sz="0" w:space="0" w:color="auto"/>
        <w:right w:val="none" w:sz="0" w:space="0" w:color="auto"/>
      </w:divBdr>
    </w:div>
    <w:div w:id="1455708202">
      <w:bodyDiv w:val="1"/>
      <w:marLeft w:val="0"/>
      <w:marRight w:val="0"/>
      <w:marTop w:val="0"/>
      <w:marBottom w:val="0"/>
      <w:divBdr>
        <w:top w:val="none" w:sz="0" w:space="0" w:color="auto"/>
        <w:left w:val="none" w:sz="0" w:space="0" w:color="auto"/>
        <w:bottom w:val="none" w:sz="0" w:space="0" w:color="auto"/>
        <w:right w:val="none" w:sz="0" w:space="0" w:color="auto"/>
      </w:divBdr>
    </w:div>
    <w:div w:id="1456825015">
      <w:bodyDiv w:val="1"/>
      <w:marLeft w:val="0"/>
      <w:marRight w:val="0"/>
      <w:marTop w:val="0"/>
      <w:marBottom w:val="0"/>
      <w:divBdr>
        <w:top w:val="none" w:sz="0" w:space="0" w:color="auto"/>
        <w:left w:val="none" w:sz="0" w:space="0" w:color="auto"/>
        <w:bottom w:val="none" w:sz="0" w:space="0" w:color="auto"/>
        <w:right w:val="none" w:sz="0" w:space="0" w:color="auto"/>
      </w:divBdr>
    </w:div>
    <w:div w:id="1461800506">
      <w:bodyDiv w:val="1"/>
      <w:marLeft w:val="0"/>
      <w:marRight w:val="0"/>
      <w:marTop w:val="0"/>
      <w:marBottom w:val="0"/>
      <w:divBdr>
        <w:top w:val="none" w:sz="0" w:space="0" w:color="auto"/>
        <w:left w:val="none" w:sz="0" w:space="0" w:color="auto"/>
        <w:bottom w:val="none" w:sz="0" w:space="0" w:color="auto"/>
        <w:right w:val="none" w:sz="0" w:space="0" w:color="auto"/>
      </w:divBdr>
    </w:div>
    <w:div w:id="1464301632">
      <w:bodyDiv w:val="1"/>
      <w:marLeft w:val="0"/>
      <w:marRight w:val="0"/>
      <w:marTop w:val="0"/>
      <w:marBottom w:val="0"/>
      <w:divBdr>
        <w:top w:val="none" w:sz="0" w:space="0" w:color="auto"/>
        <w:left w:val="none" w:sz="0" w:space="0" w:color="auto"/>
        <w:bottom w:val="none" w:sz="0" w:space="0" w:color="auto"/>
        <w:right w:val="none" w:sz="0" w:space="0" w:color="auto"/>
      </w:divBdr>
    </w:div>
    <w:div w:id="1466511594">
      <w:bodyDiv w:val="1"/>
      <w:marLeft w:val="0"/>
      <w:marRight w:val="0"/>
      <w:marTop w:val="0"/>
      <w:marBottom w:val="0"/>
      <w:divBdr>
        <w:top w:val="none" w:sz="0" w:space="0" w:color="auto"/>
        <w:left w:val="none" w:sz="0" w:space="0" w:color="auto"/>
        <w:bottom w:val="none" w:sz="0" w:space="0" w:color="auto"/>
        <w:right w:val="none" w:sz="0" w:space="0" w:color="auto"/>
      </w:divBdr>
    </w:div>
    <w:div w:id="1467309862">
      <w:bodyDiv w:val="1"/>
      <w:marLeft w:val="0"/>
      <w:marRight w:val="0"/>
      <w:marTop w:val="0"/>
      <w:marBottom w:val="0"/>
      <w:divBdr>
        <w:top w:val="none" w:sz="0" w:space="0" w:color="auto"/>
        <w:left w:val="none" w:sz="0" w:space="0" w:color="auto"/>
        <w:bottom w:val="none" w:sz="0" w:space="0" w:color="auto"/>
        <w:right w:val="none" w:sz="0" w:space="0" w:color="auto"/>
      </w:divBdr>
    </w:div>
    <w:div w:id="1468667941">
      <w:bodyDiv w:val="1"/>
      <w:marLeft w:val="0"/>
      <w:marRight w:val="0"/>
      <w:marTop w:val="0"/>
      <w:marBottom w:val="0"/>
      <w:divBdr>
        <w:top w:val="none" w:sz="0" w:space="0" w:color="auto"/>
        <w:left w:val="none" w:sz="0" w:space="0" w:color="auto"/>
        <w:bottom w:val="none" w:sz="0" w:space="0" w:color="auto"/>
        <w:right w:val="none" w:sz="0" w:space="0" w:color="auto"/>
      </w:divBdr>
    </w:div>
    <w:div w:id="1477916735">
      <w:bodyDiv w:val="1"/>
      <w:marLeft w:val="0"/>
      <w:marRight w:val="0"/>
      <w:marTop w:val="0"/>
      <w:marBottom w:val="0"/>
      <w:divBdr>
        <w:top w:val="none" w:sz="0" w:space="0" w:color="auto"/>
        <w:left w:val="none" w:sz="0" w:space="0" w:color="auto"/>
        <w:bottom w:val="none" w:sz="0" w:space="0" w:color="auto"/>
        <w:right w:val="none" w:sz="0" w:space="0" w:color="auto"/>
      </w:divBdr>
    </w:div>
    <w:div w:id="1480030187">
      <w:bodyDiv w:val="1"/>
      <w:marLeft w:val="0"/>
      <w:marRight w:val="0"/>
      <w:marTop w:val="0"/>
      <w:marBottom w:val="0"/>
      <w:divBdr>
        <w:top w:val="none" w:sz="0" w:space="0" w:color="auto"/>
        <w:left w:val="none" w:sz="0" w:space="0" w:color="auto"/>
        <w:bottom w:val="none" w:sz="0" w:space="0" w:color="auto"/>
        <w:right w:val="none" w:sz="0" w:space="0" w:color="auto"/>
      </w:divBdr>
    </w:div>
    <w:div w:id="1480263491">
      <w:bodyDiv w:val="1"/>
      <w:marLeft w:val="0"/>
      <w:marRight w:val="0"/>
      <w:marTop w:val="0"/>
      <w:marBottom w:val="0"/>
      <w:divBdr>
        <w:top w:val="none" w:sz="0" w:space="0" w:color="auto"/>
        <w:left w:val="none" w:sz="0" w:space="0" w:color="auto"/>
        <w:bottom w:val="none" w:sz="0" w:space="0" w:color="auto"/>
        <w:right w:val="none" w:sz="0" w:space="0" w:color="auto"/>
      </w:divBdr>
    </w:div>
    <w:div w:id="1482238307">
      <w:bodyDiv w:val="1"/>
      <w:marLeft w:val="0"/>
      <w:marRight w:val="0"/>
      <w:marTop w:val="0"/>
      <w:marBottom w:val="0"/>
      <w:divBdr>
        <w:top w:val="none" w:sz="0" w:space="0" w:color="auto"/>
        <w:left w:val="none" w:sz="0" w:space="0" w:color="auto"/>
        <w:bottom w:val="none" w:sz="0" w:space="0" w:color="auto"/>
        <w:right w:val="none" w:sz="0" w:space="0" w:color="auto"/>
      </w:divBdr>
    </w:div>
    <w:div w:id="1491290454">
      <w:bodyDiv w:val="1"/>
      <w:marLeft w:val="0"/>
      <w:marRight w:val="0"/>
      <w:marTop w:val="0"/>
      <w:marBottom w:val="0"/>
      <w:divBdr>
        <w:top w:val="none" w:sz="0" w:space="0" w:color="auto"/>
        <w:left w:val="none" w:sz="0" w:space="0" w:color="auto"/>
        <w:bottom w:val="none" w:sz="0" w:space="0" w:color="auto"/>
        <w:right w:val="none" w:sz="0" w:space="0" w:color="auto"/>
      </w:divBdr>
    </w:div>
    <w:div w:id="1497649229">
      <w:bodyDiv w:val="1"/>
      <w:marLeft w:val="0"/>
      <w:marRight w:val="0"/>
      <w:marTop w:val="0"/>
      <w:marBottom w:val="0"/>
      <w:divBdr>
        <w:top w:val="none" w:sz="0" w:space="0" w:color="auto"/>
        <w:left w:val="none" w:sz="0" w:space="0" w:color="auto"/>
        <w:bottom w:val="none" w:sz="0" w:space="0" w:color="auto"/>
        <w:right w:val="none" w:sz="0" w:space="0" w:color="auto"/>
      </w:divBdr>
    </w:div>
    <w:div w:id="1498426271">
      <w:bodyDiv w:val="1"/>
      <w:marLeft w:val="0"/>
      <w:marRight w:val="0"/>
      <w:marTop w:val="0"/>
      <w:marBottom w:val="0"/>
      <w:divBdr>
        <w:top w:val="none" w:sz="0" w:space="0" w:color="auto"/>
        <w:left w:val="none" w:sz="0" w:space="0" w:color="auto"/>
        <w:bottom w:val="none" w:sz="0" w:space="0" w:color="auto"/>
        <w:right w:val="none" w:sz="0" w:space="0" w:color="auto"/>
      </w:divBdr>
    </w:div>
    <w:div w:id="1499535503">
      <w:bodyDiv w:val="1"/>
      <w:marLeft w:val="0"/>
      <w:marRight w:val="0"/>
      <w:marTop w:val="0"/>
      <w:marBottom w:val="0"/>
      <w:divBdr>
        <w:top w:val="none" w:sz="0" w:space="0" w:color="auto"/>
        <w:left w:val="none" w:sz="0" w:space="0" w:color="auto"/>
        <w:bottom w:val="none" w:sz="0" w:space="0" w:color="auto"/>
        <w:right w:val="none" w:sz="0" w:space="0" w:color="auto"/>
      </w:divBdr>
    </w:div>
    <w:div w:id="1499812023">
      <w:bodyDiv w:val="1"/>
      <w:marLeft w:val="0"/>
      <w:marRight w:val="0"/>
      <w:marTop w:val="0"/>
      <w:marBottom w:val="0"/>
      <w:divBdr>
        <w:top w:val="none" w:sz="0" w:space="0" w:color="auto"/>
        <w:left w:val="none" w:sz="0" w:space="0" w:color="auto"/>
        <w:bottom w:val="none" w:sz="0" w:space="0" w:color="auto"/>
        <w:right w:val="none" w:sz="0" w:space="0" w:color="auto"/>
      </w:divBdr>
    </w:div>
    <w:div w:id="1508669235">
      <w:bodyDiv w:val="1"/>
      <w:marLeft w:val="0"/>
      <w:marRight w:val="0"/>
      <w:marTop w:val="0"/>
      <w:marBottom w:val="0"/>
      <w:divBdr>
        <w:top w:val="none" w:sz="0" w:space="0" w:color="auto"/>
        <w:left w:val="none" w:sz="0" w:space="0" w:color="auto"/>
        <w:bottom w:val="none" w:sz="0" w:space="0" w:color="auto"/>
        <w:right w:val="none" w:sz="0" w:space="0" w:color="auto"/>
      </w:divBdr>
    </w:div>
    <w:div w:id="1520705443">
      <w:bodyDiv w:val="1"/>
      <w:marLeft w:val="0"/>
      <w:marRight w:val="0"/>
      <w:marTop w:val="0"/>
      <w:marBottom w:val="0"/>
      <w:divBdr>
        <w:top w:val="none" w:sz="0" w:space="0" w:color="auto"/>
        <w:left w:val="none" w:sz="0" w:space="0" w:color="auto"/>
        <w:bottom w:val="none" w:sz="0" w:space="0" w:color="auto"/>
        <w:right w:val="none" w:sz="0" w:space="0" w:color="auto"/>
      </w:divBdr>
    </w:div>
    <w:div w:id="1526359242">
      <w:bodyDiv w:val="1"/>
      <w:marLeft w:val="0"/>
      <w:marRight w:val="0"/>
      <w:marTop w:val="0"/>
      <w:marBottom w:val="0"/>
      <w:divBdr>
        <w:top w:val="none" w:sz="0" w:space="0" w:color="auto"/>
        <w:left w:val="none" w:sz="0" w:space="0" w:color="auto"/>
        <w:bottom w:val="none" w:sz="0" w:space="0" w:color="auto"/>
        <w:right w:val="none" w:sz="0" w:space="0" w:color="auto"/>
      </w:divBdr>
    </w:div>
    <w:div w:id="1526676051">
      <w:bodyDiv w:val="1"/>
      <w:marLeft w:val="0"/>
      <w:marRight w:val="0"/>
      <w:marTop w:val="0"/>
      <w:marBottom w:val="0"/>
      <w:divBdr>
        <w:top w:val="none" w:sz="0" w:space="0" w:color="auto"/>
        <w:left w:val="none" w:sz="0" w:space="0" w:color="auto"/>
        <w:bottom w:val="none" w:sz="0" w:space="0" w:color="auto"/>
        <w:right w:val="none" w:sz="0" w:space="0" w:color="auto"/>
      </w:divBdr>
    </w:div>
    <w:div w:id="1527717794">
      <w:bodyDiv w:val="1"/>
      <w:marLeft w:val="0"/>
      <w:marRight w:val="0"/>
      <w:marTop w:val="0"/>
      <w:marBottom w:val="0"/>
      <w:divBdr>
        <w:top w:val="none" w:sz="0" w:space="0" w:color="auto"/>
        <w:left w:val="none" w:sz="0" w:space="0" w:color="auto"/>
        <w:bottom w:val="none" w:sz="0" w:space="0" w:color="auto"/>
        <w:right w:val="none" w:sz="0" w:space="0" w:color="auto"/>
      </w:divBdr>
    </w:div>
    <w:div w:id="1531411962">
      <w:bodyDiv w:val="1"/>
      <w:marLeft w:val="0"/>
      <w:marRight w:val="0"/>
      <w:marTop w:val="0"/>
      <w:marBottom w:val="0"/>
      <w:divBdr>
        <w:top w:val="none" w:sz="0" w:space="0" w:color="auto"/>
        <w:left w:val="none" w:sz="0" w:space="0" w:color="auto"/>
        <w:bottom w:val="none" w:sz="0" w:space="0" w:color="auto"/>
        <w:right w:val="none" w:sz="0" w:space="0" w:color="auto"/>
      </w:divBdr>
    </w:div>
    <w:div w:id="1533810580">
      <w:bodyDiv w:val="1"/>
      <w:marLeft w:val="0"/>
      <w:marRight w:val="0"/>
      <w:marTop w:val="0"/>
      <w:marBottom w:val="0"/>
      <w:divBdr>
        <w:top w:val="none" w:sz="0" w:space="0" w:color="auto"/>
        <w:left w:val="none" w:sz="0" w:space="0" w:color="auto"/>
        <w:bottom w:val="none" w:sz="0" w:space="0" w:color="auto"/>
        <w:right w:val="none" w:sz="0" w:space="0" w:color="auto"/>
      </w:divBdr>
    </w:div>
    <w:div w:id="1534729350">
      <w:bodyDiv w:val="1"/>
      <w:marLeft w:val="0"/>
      <w:marRight w:val="0"/>
      <w:marTop w:val="0"/>
      <w:marBottom w:val="0"/>
      <w:divBdr>
        <w:top w:val="none" w:sz="0" w:space="0" w:color="auto"/>
        <w:left w:val="none" w:sz="0" w:space="0" w:color="auto"/>
        <w:bottom w:val="none" w:sz="0" w:space="0" w:color="auto"/>
        <w:right w:val="none" w:sz="0" w:space="0" w:color="auto"/>
      </w:divBdr>
    </w:div>
    <w:div w:id="1545485759">
      <w:bodyDiv w:val="1"/>
      <w:marLeft w:val="0"/>
      <w:marRight w:val="0"/>
      <w:marTop w:val="0"/>
      <w:marBottom w:val="0"/>
      <w:divBdr>
        <w:top w:val="none" w:sz="0" w:space="0" w:color="auto"/>
        <w:left w:val="none" w:sz="0" w:space="0" w:color="auto"/>
        <w:bottom w:val="none" w:sz="0" w:space="0" w:color="auto"/>
        <w:right w:val="none" w:sz="0" w:space="0" w:color="auto"/>
      </w:divBdr>
    </w:div>
    <w:div w:id="1545560446">
      <w:bodyDiv w:val="1"/>
      <w:marLeft w:val="0"/>
      <w:marRight w:val="0"/>
      <w:marTop w:val="0"/>
      <w:marBottom w:val="0"/>
      <w:divBdr>
        <w:top w:val="none" w:sz="0" w:space="0" w:color="auto"/>
        <w:left w:val="none" w:sz="0" w:space="0" w:color="auto"/>
        <w:bottom w:val="none" w:sz="0" w:space="0" w:color="auto"/>
        <w:right w:val="none" w:sz="0" w:space="0" w:color="auto"/>
      </w:divBdr>
    </w:div>
    <w:div w:id="1546528508">
      <w:bodyDiv w:val="1"/>
      <w:marLeft w:val="0"/>
      <w:marRight w:val="0"/>
      <w:marTop w:val="0"/>
      <w:marBottom w:val="0"/>
      <w:divBdr>
        <w:top w:val="none" w:sz="0" w:space="0" w:color="auto"/>
        <w:left w:val="none" w:sz="0" w:space="0" w:color="auto"/>
        <w:bottom w:val="none" w:sz="0" w:space="0" w:color="auto"/>
        <w:right w:val="none" w:sz="0" w:space="0" w:color="auto"/>
      </w:divBdr>
    </w:div>
    <w:div w:id="1566065929">
      <w:bodyDiv w:val="1"/>
      <w:marLeft w:val="0"/>
      <w:marRight w:val="0"/>
      <w:marTop w:val="0"/>
      <w:marBottom w:val="0"/>
      <w:divBdr>
        <w:top w:val="none" w:sz="0" w:space="0" w:color="auto"/>
        <w:left w:val="none" w:sz="0" w:space="0" w:color="auto"/>
        <w:bottom w:val="none" w:sz="0" w:space="0" w:color="auto"/>
        <w:right w:val="none" w:sz="0" w:space="0" w:color="auto"/>
      </w:divBdr>
    </w:div>
    <w:div w:id="1566646807">
      <w:bodyDiv w:val="1"/>
      <w:marLeft w:val="0"/>
      <w:marRight w:val="0"/>
      <w:marTop w:val="0"/>
      <w:marBottom w:val="0"/>
      <w:divBdr>
        <w:top w:val="none" w:sz="0" w:space="0" w:color="auto"/>
        <w:left w:val="none" w:sz="0" w:space="0" w:color="auto"/>
        <w:bottom w:val="none" w:sz="0" w:space="0" w:color="auto"/>
        <w:right w:val="none" w:sz="0" w:space="0" w:color="auto"/>
      </w:divBdr>
    </w:div>
    <w:div w:id="1567718290">
      <w:bodyDiv w:val="1"/>
      <w:marLeft w:val="0"/>
      <w:marRight w:val="0"/>
      <w:marTop w:val="0"/>
      <w:marBottom w:val="0"/>
      <w:divBdr>
        <w:top w:val="none" w:sz="0" w:space="0" w:color="auto"/>
        <w:left w:val="none" w:sz="0" w:space="0" w:color="auto"/>
        <w:bottom w:val="none" w:sz="0" w:space="0" w:color="auto"/>
        <w:right w:val="none" w:sz="0" w:space="0" w:color="auto"/>
      </w:divBdr>
    </w:div>
    <w:div w:id="1568952242">
      <w:bodyDiv w:val="1"/>
      <w:marLeft w:val="0"/>
      <w:marRight w:val="0"/>
      <w:marTop w:val="0"/>
      <w:marBottom w:val="0"/>
      <w:divBdr>
        <w:top w:val="none" w:sz="0" w:space="0" w:color="auto"/>
        <w:left w:val="none" w:sz="0" w:space="0" w:color="auto"/>
        <w:bottom w:val="none" w:sz="0" w:space="0" w:color="auto"/>
        <w:right w:val="none" w:sz="0" w:space="0" w:color="auto"/>
      </w:divBdr>
    </w:div>
    <w:div w:id="1576428152">
      <w:bodyDiv w:val="1"/>
      <w:marLeft w:val="0"/>
      <w:marRight w:val="0"/>
      <w:marTop w:val="0"/>
      <w:marBottom w:val="0"/>
      <w:divBdr>
        <w:top w:val="none" w:sz="0" w:space="0" w:color="auto"/>
        <w:left w:val="none" w:sz="0" w:space="0" w:color="auto"/>
        <w:bottom w:val="none" w:sz="0" w:space="0" w:color="auto"/>
        <w:right w:val="none" w:sz="0" w:space="0" w:color="auto"/>
      </w:divBdr>
    </w:div>
    <w:div w:id="1578784271">
      <w:bodyDiv w:val="1"/>
      <w:marLeft w:val="0"/>
      <w:marRight w:val="0"/>
      <w:marTop w:val="0"/>
      <w:marBottom w:val="0"/>
      <w:divBdr>
        <w:top w:val="none" w:sz="0" w:space="0" w:color="auto"/>
        <w:left w:val="none" w:sz="0" w:space="0" w:color="auto"/>
        <w:bottom w:val="none" w:sz="0" w:space="0" w:color="auto"/>
        <w:right w:val="none" w:sz="0" w:space="0" w:color="auto"/>
      </w:divBdr>
    </w:div>
    <w:div w:id="1583684455">
      <w:bodyDiv w:val="1"/>
      <w:marLeft w:val="0"/>
      <w:marRight w:val="0"/>
      <w:marTop w:val="0"/>
      <w:marBottom w:val="0"/>
      <w:divBdr>
        <w:top w:val="none" w:sz="0" w:space="0" w:color="auto"/>
        <w:left w:val="none" w:sz="0" w:space="0" w:color="auto"/>
        <w:bottom w:val="none" w:sz="0" w:space="0" w:color="auto"/>
        <w:right w:val="none" w:sz="0" w:space="0" w:color="auto"/>
      </w:divBdr>
    </w:div>
    <w:div w:id="1587957989">
      <w:bodyDiv w:val="1"/>
      <w:marLeft w:val="0"/>
      <w:marRight w:val="0"/>
      <w:marTop w:val="0"/>
      <w:marBottom w:val="0"/>
      <w:divBdr>
        <w:top w:val="none" w:sz="0" w:space="0" w:color="auto"/>
        <w:left w:val="none" w:sz="0" w:space="0" w:color="auto"/>
        <w:bottom w:val="none" w:sz="0" w:space="0" w:color="auto"/>
        <w:right w:val="none" w:sz="0" w:space="0" w:color="auto"/>
      </w:divBdr>
    </w:div>
    <w:div w:id="1589389261">
      <w:bodyDiv w:val="1"/>
      <w:marLeft w:val="0"/>
      <w:marRight w:val="0"/>
      <w:marTop w:val="0"/>
      <w:marBottom w:val="0"/>
      <w:divBdr>
        <w:top w:val="none" w:sz="0" w:space="0" w:color="auto"/>
        <w:left w:val="none" w:sz="0" w:space="0" w:color="auto"/>
        <w:bottom w:val="none" w:sz="0" w:space="0" w:color="auto"/>
        <w:right w:val="none" w:sz="0" w:space="0" w:color="auto"/>
      </w:divBdr>
    </w:div>
    <w:div w:id="1594626123">
      <w:bodyDiv w:val="1"/>
      <w:marLeft w:val="0"/>
      <w:marRight w:val="0"/>
      <w:marTop w:val="0"/>
      <w:marBottom w:val="0"/>
      <w:divBdr>
        <w:top w:val="none" w:sz="0" w:space="0" w:color="auto"/>
        <w:left w:val="none" w:sz="0" w:space="0" w:color="auto"/>
        <w:bottom w:val="none" w:sz="0" w:space="0" w:color="auto"/>
        <w:right w:val="none" w:sz="0" w:space="0" w:color="auto"/>
      </w:divBdr>
    </w:div>
    <w:div w:id="1594819383">
      <w:bodyDiv w:val="1"/>
      <w:marLeft w:val="0"/>
      <w:marRight w:val="0"/>
      <w:marTop w:val="0"/>
      <w:marBottom w:val="0"/>
      <w:divBdr>
        <w:top w:val="none" w:sz="0" w:space="0" w:color="auto"/>
        <w:left w:val="none" w:sz="0" w:space="0" w:color="auto"/>
        <w:bottom w:val="none" w:sz="0" w:space="0" w:color="auto"/>
        <w:right w:val="none" w:sz="0" w:space="0" w:color="auto"/>
      </w:divBdr>
    </w:div>
    <w:div w:id="1595019859">
      <w:bodyDiv w:val="1"/>
      <w:marLeft w:val="0"/>
      <w:marRight w:val="0"/>
      <w:marTop w:val="0"/>
      <w:marBottom w:val="0"/>
      <w:divBdr>
        <w:top w:val="none" w:sz="0" w:space="0" w:color="auto"/>
        <w:left w:val="none" w:sz="0" w:space="0" w:color="auto"/>
        <w:bottom w:val="none" w:sz="0" w:space="0" w:color="auto"/>
        <w:right w:val="none" w:sz="0" w:space="0" w:color="auto"/>
      </w:divBdr>
    </w:div>
    <w:div w:id="1595166371">
      <w:bodyDiv w:val="1"/>
      <w:marLeft w:val="0"/>
      <w:marRight w:val="0"/>
      <w:marTop w:val="0"/>
      <w:marBottom w:val="0"/>
      <w:divBdr>
        <w:top w:val="none" w:sz="0" w:space="0" w:color="auto"/>
        <w:left w:val="none" w:sz="0" w:space="0" w:color="auto"/>
        <w:bottom w:val="none" w:sz="0" w:space="0" w:color="auto"/>
        <w:right w:val="none" w:sz="0" w:space="0" w:color="auto"/>
      </w:divBdr>
    </w:div>
    <w:div w:id="1600093570">
      <w:bodyDiv w:val="1"/>
      <w:marLeft w:val="0"/>
      <w:marRight w:val="0"/>
      <w:marTop w:val="0"/>
      <w:marBottom w:val="0"/>
      <w:divBdr>
        <w:top w:val="none" w:sz="0" w:space="0" w:color="auto"/>
        <w:left w:val="none" w:sz="0" w:space="0" w:color="auto"/>
        <w:bottom w:val="none" w:sz="0" w:space="0" w:color="auto"/>
        <w:right w:val="none" w:sz="0" w:space="0" w:color="auto"/>
      </w:divBdr>
    </w:div>
    <w:div w:id="1600521564">
      <w:bodyDiv w:val="1"/>
      <w:marLeft w:val="0"/>
      <w:marRight w:val="0"/>
      <w:marTop w:val="0"/>
      <w:marBottom w:val="0"/>
      <w:divBdr>
        <w:top w:val="none" w:sz="0" w:space="0" w:color="auto"/>
        <w:left w:val="none" w:sz="0" w:space="0" w:color="auto"/>
        <w:bottom w:val="none" w:sz="0" w:space="0" w:color="auto"/>
        <w:right w:val="none" w:sz="0" w:space="0" w:color="auto"/>
      </w:divBdr>
    </w:div>
    <w:div w:id="1603802547">
      <w:bodyDiv w:val="1"/>
      <w:marLeft w:val="0"/>
      <w:marRight w:val="0"/>
      <w:marTop w:val="0"/>
      <w:marBottom w:val="0"/>
      <w:divBdr>
        <w:top w:val="none" w:sz="0" w:space="0" w:color="auto"/>
        <w:left w:val="none" w:sz="0" w:space="0" w:color="auto"/>
        <w:bottom w:val="none" w:sz="0" w:space="0" w:color="auto"/>
        <w:right w:val="none" w:sz="0" w:space="0" w:color="auto"/>
      </w:divBdr>
    </w:div>
    <w:div w:id="1606883594">
      <w:bodyDiv w:val="1"/>
      <w:marLeft w:val="0"/>
      <w:marRight w:val="0"/>
      <w:marTop w:val="0"/>
      <w:marBottom w:val="0"/>
      <w:divBdr>
        <w:top w:val="none" w:sz="0" w:space="0" w:color="auto"/>
        <w:left w:val="none" w:sz="0" w:space="0" w:color="auto"/>
        <w:bottom w:val="none" w:sz="0" w:space="0" w:color="auto"/>
        <w:right w:val="none" w:sz="0" w:space="0" w:color="auto"/>
      </w:divBdr>
    </w:div>
    <w:div w:id="1607344683">
      <w:bodyDiv w:val="1"/>
      <w:marLeft w:val="0"/>
      <w:marRight w:val="0"/>
      <w:marTop w:val="0"/>
      <w:marBottom w:val="0"/>
      <w:divBdr>
        <w:top w:val="none" w:sz="0" w:space="0" w:color="auto"/>
        <w:left w:val="none" w:sz="0" w:space="0" w:color="auto"/>
        <w:bottom w:val="none" w:sz="0" w:space="0" w:color="auto"/>
        <w:right w:val="none" w:sz="0" w:space="0" w:color="auto"/>
      </w:divBdr>
    </w:div>
    <w:div w:id="1608731174">
      <w:bodyDiv w:val="1"/>
      <w:marLeft w:val="0"/>
      <w:marRight w:val="0"/>
      <w:marTop w:val="0"/>
      <w:marBottom w:val="0"/>
      <w:divBdr>
        <w:top w:val="none" w:sz="0" w:space="0" w:color="auto"/>
        <w:left w:val="none" w:sz="0" w:space="0" w:color="auto"/>
        <w:bottom w:val="none" w:sz="0" w:space="0" w:color="auto"/>
        <w:right w:val="none" w:sz="0" w:space="0" w:color="auto"/>
      </w:divBdr>
    </w:div>
    <w:div w:id="1613979760">
      <w:bodyDiv w:val="1"/>
      <w:marLeft w:val="0"/>
      <w:marRight w:val="0"/>
      <w:marTop w:val="0"/>
      <w:marBottom w:val="0"/>
      <w:divBdr>
        <w:top w:val="none" w:sz="0" w:space="0" w:color="auto"/>
        <w:left w:val="none" w:sz="0" w:space="0" w:color="auto"/>
        <w:bottom w:val="none" w:sz="0" w:space="0" w:color="auto"/>
        <w:right w:val="none" w:sz="0" w:space="0" w:color="auto"/>
      </w:divBdr>
    </w:div>
    <w:div w:id="1615942315">
      <w:bodyDiv w:val="1"/>
      <w:marLeft w:val="0"/>
      <w:marRight w:val="0"/>
      <w:marTop w:val="0"/>
      <w:marBottom w:val="0"/>
      <w:divBdr>
        <w:top w:val="none" w:sz="0" w:space="0" w:color="auto"/>
        <w:left w:val="none" w:sz="0" w:space="0" w:color="auto"/>
        <w:bottom w:val="none" w:sz="0" w:space="0" w:color="auto"/>
        <w:right w:val="none" w:sz="0" w:space="0" w:color="auto"/>
      </w:divBdr>
    </w:div>
    <w:div w:id="1621959616">
      <w:bodyDiv w:val="1"/>
      <w:marLeft w:val="0"/>
      <w:marRight w:val="0"/>
      <w:marTop w:val="0"/>
      <w:marBottom w:val="0"/>
      <w:divBdr>
        <w:top w:val="none" w:sz="0" w:space="0" w:color="auto"/>
        <w:left w:val="none" w:sz="0" w:space="0" w:color="auto"/>
        <w:bottom w:val="none" w:sz="0" w:space="0" w:color="auto"/>
        <w:right w:val="none" w:sz="0" w:space="0" w:color="auto"/>
      </w:divBdr>
    </w:div>
    <w:div w:id="1623027975">
      <w:bodyDiv w:val="1"/>
      <w:marLeft w:val="0"/>
      <w:marRight w:val="0"/>
      <w:marTop w:val="0"/>
      <w:marBottom w:val="0"/>
      <w:divBdr>
        <w:top w:val="none" w:sz="0" w:space="0" w:color="auto"/>
        <w:left w:val="none" w:sz="0" w:space="0" w:color="auto"/>
        <w:bottom w:val="none" w:sz="0" w:space="0" w:color="auto"/>
        <w:right w:val="none" w:sz="0" w:space="0" w:color="auto"/>
      </w:divBdr>
    </w:div>
    <w:div w:id="1625693681">
      <w:bodyDiv w:val="1"/>
      <w:marLeft w:val="0"/>
      <w:marRight w:val="0"/>
      <w:marTop w:val="0"/>
      <w:marBottom w:val="0"/>
      <w:divBdr>
        <w:top w:val="none" w:sz="0" w:space="0" w:color="auto"/>
        <w:left w:val="none" w:sz="0" w:space="0" w:color="auto"/>
        <w:bottom w:val="none" w:sz="0" w:space="0" w:color="auto"/>
        <w:right w:val="none" w:sz="0" w:space="0" w:color="auto"/>
      </w:divBdr>
    </w:div>
    <w:div w:id="1626039179">
      <w:bodyDiv w:val="1"/>
      <w:marLeft w:val="0"/>
      <w:marRight w:val="0"/>
      <w:marTop w:val="0"/>
      <w:marBottom w:val="0"/>
      <w:divBdr>
        <w:top w:val="none" w:sz="0" w:space="0" w:color="auto"/>
        <w:left w:val="none" w:sz="0" w:space="0" w:color="auto"/>
        <w:bottom w:val="none" w:sz="0" w:space="0" w:color="auto"/>
        <w:right w:val="none" w:sz="0" w:space="0" w:color="auto"/>
      </w:divBdr>
    </w:div>
    <w:div w:id="1630478297">
      <w:bodyDiv w:val="1"/>
      <w:marLeft w:val="0"/>
      <w:marRight w:val="0"/>
      <w:marTop w:val="0"/>
      <w:marBottom w:val="0"/>
      <w:divBdr>
        <w:top w:val="none" w:sz="0" w:space="0" w:color="auto"/>
        <w:left w:val="none" w:sz="0" w:space="0" w:color="auto"/>
        <w:bottom w:val="none" w:sz="0" w:space="0" w:color="auto"/>
        <w:right w:val="none" w:sz="0" w:space="0" w:color="auto"/>
      </w:divBdr>
    </w:div>
    <w:div w:id="1634361757">
      <w:bodyDiv w:val="1"/>
      <w:marLeft w:val="0"/>
      <w:marRight w:val="0"/>
      <w:marTop w:val="0"/>
      <w:marBottom w:val="0"/>
      <w:divBdr>
        <w:top w:val="none" w:sz="0" w:space="0" w:color="auto"/>
        <w:left w:val="none" w:sz="0" w:space="0" w:color="auto"/>
        <w:bottom w:val="none" w:sz="0" w:space="0" w:color="auto"/>
        <w:right w:val="none" w:sz="0" w:space="0" w:color="auto"/>
      </w:divBdr>
    </w:div>
    <w:div w:id="1635602370">
      <w:bodyDiv w:val="1"/>
      <w:marLeft w:val="0"/>
      <w:marRight w:val="0"/>
      <w:marTop w:val="0"/>
      <w:marBottom w:val="0"/>
      <w:divBdr>
        <w:top w:val="none" w:sz="0" w:space="0" w:color="auto"/>
        <w:left w:val="none" w:sz="0" w:space="0" w:color="auto"/>
        <w:bottom w:val="none" w:sz="0" w:space="0" w:color="auto"/>
        <w:right w:val="none" w:sz="0" w:space="0" w:color="auto"/>
      </w:divBdr>
    </w:div>
    <w:div w:id="1636834425">
      <w:bodyDiv w:val="1"/>
      <w:marLeft w:val="0"/>
      <w:marRight w:val="0"/>
      <w:marTop w:val="0"/>
      <w:marBottom w:val="0"/>
      <w:divBdr>
        <w:top w:val="none" w:sz="0" w:space="0" w:color="auto"/>
        <w:left w:val="none" w:sz="0" w:space="0" w:color="auto"/>
        <w:bottom w:val="none" w:sz="0" w:space="0" w:color="auto"/>
        <w:right w:val="none" w:sz="0" w:space="0" w:color="auto"/>
      </w:divBdr>
    </w:div>
    <w:div w:id="1645967190">
      <w:bodyDiv w:val="1"/>
      <w:marLeft w:val="0"/>
      <w:marRight w:val="0"/>
      <w:marTop w:val="0"/>
      <w:marBottom w:val="0"/>
      <w:divBdr>
        <w:top w:val="none" w:sz="0" w:space="0" w:color="auto"/>
        <w:left w:val="none" w:sz="0" w:space="0" w:color="auto"/>
        <w:bottom w:val="none" w:sz="0" w:space="0" w:color="auto"/>
        <w:right w:val="none" w:sz="0" w:space="0" w:color="auto"/>
      </w:divBdr>
    </w:div>
    <w:div w:id="1648437960">
      <w:bodyDiv w:val="1"/>
      <w:marLeft w:val="0"/>
      <w:marRight w:val="0"/>
      <w:marTop w:val="0"/>
      <w:marBottom w:val="0"/>
      <w:divBdr>
        <w:top w:val="none" w:sz="0" w:space="0" w:color="auto"/>
        <w:left w:val="none" w:sz="0" w:space="0" w:color="auto"/>
        <w:bottom w:val="none" w:sz="0" w:space="0" w:color="auto"/>
        <w:right w:val="none" w:sz="0" w:space="0" w:color="auto"/>
      </w:divBdr>
    </w:div>
    <w:div w:id="1649089202">
      <w:bodyDiv w:val="1"/>
      <w:marLeft w:val="0"/>
      <w:marRight w:val="0"/>
      <w:marTop w:val="0"/>
      <w:marBottom w:val="0"/>
      <w:divBdr>
        <w:top w:val="none" w:sz="0" w:space="0" w:color="auto"/>
        <w:left w:val="none" w:sz="0" w:space="0" w:color="auto"/>
        <w:bottom w:val="none" w:sz="0" w:space="0" w:color="auto"/>
        <w:right w:val="none" w:sz="0" w:space="0" w:color="auto"/>
      </w:divBdr>
    </w:div>
    <w:div w:id="1651053754">
      <w:bodyDiv w:val="1"/>
      <w:marLeft w:val="0"/>
      <w:marRight w:val="0"/>
      <w:marTop w:val="0"/>
      <w:marBottom w:val="0"/>
      <w:divBdr>
        <w:top w:val="none" w:sz="0" w:space="0" w:color="auto"/>
        <w:left w:val="none" w:sz="0" w:space="0" w:color="auto"/>
        <w:bottom w:val="none" w:sz="0" w:space="0" w:color="auto"/>
        <w:right w:val="none" w:sz="0" w:space="0" w:color="auto"/>
      </w:divBdr>
    </w:div>
    <w:div w:id="1653019326">
      <w:bodyDiv w:val="1"/>
      <w:marLeft w:val="0"/>
      <w:marRight w:val="0"/>
      <w:marTop w:val="0"/>
      <w:marBottom w:val="0"/>
      <w:divBdr>
        <w:top w:val="none" w:sz="0" w:space="0" w:color="auto"/>
        <w:left w:val="none" w:sz="0" w:space="0" w:color="auto"/>
        <w:bottom w:val="none" w:sz="0" w:space="0" w:color="auto"/>
        <w:right w:val="none" w:sz="0" w:space="0" w:color="auto"/>
      </w:divBdr>
    </w:div>
    <w:div w:id="1657371779">
      <w:bodyDiv w:val="1"/>
      <w:marLeft w:val="0"/>
      <w:marRight w:val="0"/>
      <w:marTop w:val="0"/>
      <w:marBottom w:val="0"/>
      <w:divBdr>
        <w:top w:val="none" w:sz="0" w:space="0" w:color="auto"/>
        <w:left w:val="none" w:sz="0" w:space="0" w:color="auto"/>
        <w:bottom w:val="none" w:sz="0" w:space="0" w:color="auto"/>
        <w:right w:val="none" w:sz="0" w:space="0" w:color="auto"/>
      </w:divBdr>
    </w:div>
    <w:div w:id="1658269368">
      <w:bodyDiv w:val="1"/>
      <w:marLeft w:val="0"/>
      <w:marRight w:val="0"/>
      <w:marTop w:val="0"/>
      <w:marBottom w:val="0"/>
      <w:divBdr>
        <w:top w:val="none" w:sz="0" w:space="0" w:color="auto"/>
        <w:left w:val="none" w:sz="0" w:space="0" w:color="auto"/>
        <w:bottom w:val="none" w:sz="0" w:space="0" w:color="auto"/>
        <w:right w:val="none" w:sz="0" w:space="0" w:color="auto"/>
      </w:divBdr>
    </w:div>
    <w:div w:id="1660957004">
      <w:bodyDiv w:val="1"/>
      <w:marLeft w:val="0"/>
      <w:marRight w:val="0"/>
      <w:marTop w:val="0"/>
      <w:marBottom w:val="0"/>
      <w:divBdr>
        <w:top w:val="none" w:sz="0" w:space="0" w:color="auto"/>
        <w:left w:val="none" w:sz="0" w:space="0" w:color="auto"/>
        <w:bottom w:val="none" w:sz="0" w:space="0" w:color="auto"/>
        <w:right w:val="none" w:sz="0" w:space="0" w:color="auto"/>
      </w:divBdr>
    </w:div>
    <w:div w:id="1661274446">
      <w:bodyDiv w:val="1"/>
      <w:marLeft w:val="0"/>
      <w:marRight w:val="0"/>
      <w:marTop w:val="0"/>
      <w:marBottom w:val="0"/>
      <w:divBdr>
        <w:top w:val="none" w:sz="0" w:space="0" w:color="auto"/>
        <w:left w:val="none" w:sz="0" w:space="0" w:color="auto"/>
        <w:bottom w:val="none" w:sz="0" w:space="0" w:color="auto"/>
        <w:right w:val="none" w:sz="0" w:space="0" w:color="auto"/>
      </w:divBdr>
    </w:div>
    <w:div w:id="1662851771">
      <w:bodyDiv w:val="1"/>
      <w:marLeft w:val="0"/>
      <w:marRight w:val="0"/>
      <w:marTop w:val="0"/>
      <w:marBottom w:val="0"/>
      <w:divBdr>
        <w:top w:val="none" w:sz="0" w:space="0" w:color="auto"/>
        <w:left w:val="none" w:sz="0" w:space="0" w:color="auto"/>
        <w:bottom w:val="none" w:sz="0" w:space="0" w:color="auto"/>
        <w:right w:val="none" w:sz="0" w:space="0" w:color="auto"/>
      </w:divBdr>
    </w:div>
    <w:div w:id="1663191356">
      <w:bodyDiv w:val="1"/>
      <w:marLeft w:val="0"/>
      <w:marRight w:val="0"/>
      <w:marTop w:val="0"/>
      <w:marBottom w:val="0"/>
      <w:divBdr>
        <w:top w:val="none" w:sz="0" w:space="0" w:color="auto"/>
        <w:left w:val="none" w:sz="0" w:space="0" w:color="auto"/>
        <w:bottom w:val="none" w:sz="0" w:space="0" w:color="auto"/>
        <w:right w:val="none" w:sz="0" w:space="0" w:color="auto"/>
      </w:divBdr>
    </w:div>
    <w:div w:id="1664314319">
      <w:bodyDiv w:val="1"/>
      <w:marLeft w:val="0"/>
      <w:marRight w:val="0"/>
      <w:marTop w:val="0"/>
      <w:marBottom w:val="0"/>
      <w:divBdr>
        <w:top w:val="none" w:sz="0" w:space="0" w:color="auto"/>
        <w:left w:val="none" w:sz="0" w:space="0" w:color="auto"/>
        <w:bottom w:val="none" w:sz="0" w:space="0" w:color="auto"/>
        <w:right w:val="none" w:sz="0" w:space="0" w:color="auto"/>
      </w:divBdr>
    </w:div>
    <w:div w:id="1665622365">
      <w:bodyDiv w:val="1"/>
      <w:marLeft w:val="0"/>
      <w:marRight w:val="0"/>
      <w:marTop w:val="0"/>
      <w:marBottom w:val="0"/>
      <w:divBdr>
        <w:top w:val="none" w:sz="0" w:space="0" w:color="auto"/>
        <w:left w:val="none" w:sz="0" w:space="0" w:color="auto"/>
        <w:bottom w:val="none" w:sz="0" w:space="0" w:color="auto"/>
        <w:right w:val="none" w:sz="0" w:space="0" w:color="auto"/>
      </w:divBdr>
    </w:div>
    <w:div w:id="1669096141">
      <w:bodyDiv w:val="1"/>
      <w:marLeft w:val="0"/>
      <w:marRight w:val="0"/>
      <w:marTop w:val="0"/>
      <w:marBottom w:val="0"/>
      <w:divBdr>
        <w:top w:val="none" w:sz="0" w:space="0" w:color="auto"/>
        <w:left w:val="none" w:sz="0" w:space="0" w:color="auto"/>
        <w:bottom w:val="none" w:sz="0" w:space="0" w:color="auto"/>
        <w:right w:val="none" w:sz="0" w:space="0" w:color="auto"/>
      </w:divBdr>
    </w:div>
    <w:div w:id="1669943977">
      <w:bodyDiv w:val="1"/>
      <w:marLeft w:val="0"/>
      <w:marRight w:val="0"/>
      <w:marTop w:val="0"/>
      <w:marBottom w:val="0"/>
      <w:divBdr>
        <w:top w:val="none" w:sz="0" w:space="0" w:color="auto"/>
        <w:left w:val="none" w:sz="0" w:space="0" w:color="auto"/>
        <w:bottom w:val="none" w:sz="0" w:space="0" w:color="auto"/>
        <w:right w:val="none" w:sz="0" w:space="0" w:color="auto"/>
      </w:divBdr>
    </w:div>
    <w:div w:id="1674339982">
      <w:bodyDiv w:val="1"/>
      <w:marLeft w:val="0"/>
      <w:marRight w:val="0"/>
      <w:marTop w:val="0"/>
      <w:marBottom w:val="0"/>
      <w:divBdr>
        <w:top w:val="none" w:sz="0" w:space="0" w:color="auto"/>
        <w:left w:val="none" w:sz="0" w:space="0" w:color="auto"/>
        <w:bottom w:val="none" w:sz="0" w:space="0" w:color="auto"/>
        <w:right w:val="none" w:sz="0" w:space="0" w:color="auto"/>
      </w:divBdr>
    </w:div>
    <w:div w:id="1677999494">
      <w:bodyDiv w:val="1"/>
      <w:marLeft w:val="0"/>
      <w:marRight w:val="0"/>
      <w:marTop w:val="0"/>
      <w:marBottom w:val="0"/>
      <w:divBdr>
        <w:top w:val="none" w:sz="0" w:space="0" w:color="auto"/>
        <w:left w:val="none" w:sz="0" w:space="0" w:color="auto"/>
        <w:bottom w:val="none" w:sz="0" w:space="0" w:color="auto"/>
        <w:right w:val="none" w:sz="0" w:space="0" w:color="auto"/>
      </w:divBdr>
    </w:div>
    <w:div w:id="1681084095">
      <w:bodyDiv w:val="1"/>
      <w:marLeft w:val="0"/>
      <w:marRight w:val="0"/>
      <w:marTop w:val="0"/>
      <w:marBottom w:val="0"/>
      <w:divBdr>
        <w:top w:val="none" w:sz="0" w:space="0" w:color="auto"/>
        <w:left w:val="none" w:sz="0" w:space="0" w:color="auto"/>
        <w:bottom w:val="none" w:sz="0" w:space="0" w:color="auto"/>
        <w:right w:val="none" w:sz="0" w:space="0" w:color="auto"/>
      </w:divBdr>
    </w:div>
    <w:div w:id="1684282866">
      <w:bodyDiv w:val="1"/>
      <w:marLeft w:val="0"/>
      <w:marRight w:val="0"/>
      <w:marTop w:val="0"/>
      <w:marBottom w:val="0"/>
      <w:divBdr>
        <w:top w:val="none" w:sz="0" w:space="0" w:color="auto"/>
        <w:left w:val="none" w:sz="0" w:space="0" w:color="auto"/>
        <w:bottom w:val="none" w:sz="0" w:space="0" w:color="auto"/>
        <w:right w:val="none" w:sz="0" w:space="0" w:color="auto"/>
      </w:divBdr>
    </w:div>
    <w:div w:id="1713652629">
      <w:bodyDiv w:val="1"/>
      <w:marLeft w:val="0"/>
      <w:marRight w:val="0"/>
      <w:marTop w:val="0"/>
      <w:marBottom w:val="0"/>
      <w:divBdr>
        <w:top w:val="none" w:sz="0" w:space="0" w:color="auto"/>
        <w:left w:val="none" w:sz="0" w:space="0" w:color="auto"/>
        <w:bottom w:val="none" w:sz="0" w:space="0" w:color="auto"/>
        <w:right w:val="none" w:sz="0" w:space="0" w:color="auto"/>
      </w:divBdr>
    </w:div>
    <w:div w:id="1731151755">
      <w:bodyDiv w:val="1"/>
      <w:marLeft w:val="0"/>
      <w:marRight w:val="0"/>
      <w:marTop w:val="0"/>
      <w:marBottom w:val="0"/>
      <w:divBdr>
        <w:top w:val="none" w:sz="0" w:space="0" w:color="auto"/>
        <w:left w:val="none" w:sz="0" w:space="0" w:color="auto"/>
        <w:bottom w:val="none" w:sz="0" w:space="0" w:color="auto"/>
        <w:right w:val="none" w:sz="0" w:space="0" w:color="auto"/>
      </w:divBdr>
    </w:div>
    <w:div w:id="1732923932">
      <w:bodyDiv w:val="1"/>
      <w:marLeft w:val="0"/>
      <w:marRight w:val="0"/>
      <w:marTop w:val="0"/>
      <w:marBottom w:val="0"/>
      <w:divBdr>
        <w:top w:val="none" w:sz="0" w:space="0" w:color="auto"/>
        <w:left w:val="none" w:sz="0" w:space="0" w:color="auto"/>
        <w:bottom w:val="none" w:sz="0" w:space="0" w:color="auto"/>
        <w:right w:val="none" w:sz="0" w:space="0" w:color="auto"/>
      </w:divBdr>
    </w:div>
    <w:div w:id="1743789638">
      <w:bodyDiv w:val="1"/>
      <w:marLeft w:val="0"/>
      <w:marRight w:val="0"/>
      <w:marTop w:val="0"/>
      <w:marBottom w:val="0"/>
      <w:divBdr>
        <w:top w:val="none" w:sz="0" w:space="0" w:color="auto"/>
        <w:left w:val="none" w:sz="0" w:space="0" w:color="auto"/>
        <w:bottom w:val="none" w:sz="0" w:space="0" w:color="auto"/>
        <w:right w:val="none" w:sz="0" w:space="0" w:color="auto"/>
      </w:divBdr>
    </w:div>
    <w:div w:id="1745031354">
      <w:bodyDiv w:val="1"/>
      <w:marLeft w:val="0"/>
      <w:marRight w:val="0"/>
      <w:marTop w:val="0"/>
      <w:marBottom w:val="0"/>
      <w:divBdr>
        <w:top w:val="none" w:sz="0" w:space="0" w:color="auto"/>
        <w:left w:val="none" w:sz="0" w:space="0" w:color="auto"/>
        <w:bottom w:val="none" w:sz="0" w:space="0" w:color="auto"/>
        <w:right w:val="none" w:sz="0" w:space="0" w:color="auto"/>
      </w:divBdr>
    </w:div>
    <w:div w:id="1754937299">
      <w:bodyDiv w:val="1"/>
      <w:marLeft w:val="0"/>
      <w:marRight w:val="0"/>
      <w:marTop w:val="0"/>
      <w:marBottom w:val="0"/>
      <w:divBdr>
        <w:top w:val="none" w:sz="0" w:space="0" w:color="auto"/>
        <w:left w:val="none" w:sz="0" w:space="0" w:color="auto"/>
        <w:bottom w:val="none" w:sz="0" w:space="0" w:color="auto"/>
        <w:right w:val="none" w:sz="0" w:space="0" w:color="auto"/>
      </w:divBdr>
    </w:div>
    <w:div w:id="1756122962">
      <w:bodyDiv w:val="1"/>
      <w:marLeft w:val="0"/>
      <w:marRight w:val="0"/>
      <w:marTop w:val="0"/>
      <w:marBottom w:val="0"/>
      <w:divBdr>
        <w:top w:val="none" w:sz="0" w:space="0" w:color="auto"/>
        <w:left w:val="none" w:sz="0" w:space="0" w:color="auto"/>
        <w:bottom w:val="none" w:sz="0" w:space="0" w:color="auto"/>
        <w:right w:val="none" w:sz="0" w:space="0" w:color="auto"/>
      </w:divBdr>
    </w:div>
    <w:div w:id="1757748210">
      <w:bodyDiv w:val="1"/>
      <w:marLeft w:val="0"/>
      <w:marRight w:val="0"/>
      <w:marTop w:val="0"/>
      <w:marBottom w:val="0"/>
      <w:divBdr>
        <w:top w:val="none" w:sz="0" w:space="0" w:color="auto"/>
        <w:left w:val="none" w:sz="0" w:space="0" w:color="auto"/>
        <w:bottom w:val="none" w:sz="0" w:space="0" w:color="auto"/>
        <w:right w:val="none" w:sz="0" w:space="0" w:color="auto"/>
      </w:divBdr>
    </w:div>
    <w:div w:id="1758938282">
      <w:bodyDiv w:val="1"/>
      <w:marLeft w:val="0"/>
      <w:marRight w:val="0"/>
      <w:marTop w:val="0"/>
      <w:marBottom w:val="0"/>
      <w:divBdr>
        <w:top w:val="none" w:sz="0" w:space="0" w:color="auto"/>
        <w:left w:val="none" w:sz="0" w:space="0" w:color="auto"/>
        <w:bottom w:val="none" w:sz="0" w:space="0" w:color="auto"/>
        <w:right w:val="none" w:sz="0" w:space="0" w:color="auto"/>
      </w:divBdr>
    </w:div>
    <w:div w:id="1765808370">
      <w:bodyDiv w:val="1"/>
      <w:marLeft w:val="0"/>
      <w:marRight w:val="0"/>
      <w:marTop w:val="0"/>
      <w:marBottom w:val="0"/>
      <w:divBdr>
        <w:top w:val="none" w:sz="0" w:space="0" w:color="auto"/>
        <w:left w:val="none" w:sz="0" w:space="0" w:color="auto"/>
        <w:bottom w:val="none" w:sz="0" w:space="0" w:color="auto"/>
        <w:right w:val="none" w:sz="0" w:space="0" w:color="auto"/>
      </w:divBdr>
    </w:div>
    <w:div w:id="1768117823">
      <w:bodyDiv w:val="1"/>
      <w:marLeft w:val="0"/>
      <w:marRight w:val="0"/>
      <w:marTop w:val="0"/>
      <w:marBottom w:val="0"/>
      <w:divBdr>
        <w:top w:val="none" w:sz="0" w:space="0" w:color="auto"/>
        <w:left w:val="none" w:sz="0" w:space="0" w:color="auto"/>
        <w:bottom w:val="none" w:sz="0" w:space="0" w:color="auto"/>
        <w:right w:val="none" w:sz="0" w:space="0" w:color="auto"/>
      </w:divBdr>
    </w:div>
    <w:div w:id="1773940127">
      <w:bodyDiv w:val="1"/>
      <w:marLeft w:val="0"/>
      <w:marRight w:val="0"/>
      <w:marTop w:val="0"/>
      <w:marBottom w:val="0"/>
      <w:divBdr>
        <w:top w:val="none" w:sz="0" w:space="0" w:color="auto"/>
        <w:left w:val="none" w:sz="0" w:space="0" w:color="auto"/>
        <w:bottom w:val="none" w:sz="0" w:space="0" w:color="auto"/>
        <w:right w:val="none" w:sz="0" w:space="0" w:color="auto"/>
      </w:divBdr>
    </w:div>
    <w:div w:id="1780829484">
      <w:bodyDiv w:val="1"/>
      <w:marLeft w:val="0"/>
      <w:marRight w:val="0"/>
      <w:marTop w:val="0"/>
      <w:marBottom w:val="0"/>
      <w:divBdr>
        <w:top w:val="none" w:sz="0" w:space="0" w:color="auto"/>
        <w:left w:val="none" w:sz="0" w:space="0" w:color="auto"/>
        <w:bottom w:val="none" w:sz="0" w:space="0" w:color="auto"/>
        <w:right w:val="none" w:sz="0" w:space="0" w:color="auto"/>
      </w:divBdr>
    </w:div>
    <w:div w:id="1788499210">
      <w:bodyDiv w:val="1"/>
      <w:marLeft w:val="0"/>
      <w:marRight w:val="0"/>
      <w:marTop w:val="0"/>
      <w:marBottom w:val="0"/>
      <w:divBdr>
        <w:top w:val="none" w:sz="0" w:space="0" w:color="auto"/>
        <w:left w:val="none" w:sz="0" w:space="0" w:color="auto"/>
        <w:bottom w:val="none" w:sz="0" w:space="0" w:color="auto"/>
        <w:right w:val="none" w:sz="0" w:space="0" w:color="auto"/>
      </w:divBdr>
    </w:div>
    <w:div w:id="1794055512">
      <w:bodyDiv w:val="1"/>
      <w:marLeft w:val="0"/>
      <w:marRight w:val="0"/>
      <w:marTop w:val="0"/>
      <w:marBottom w:val="0"/>
      <w:divBdr>
        <w:top w:val="none" w:sz="0" w:space="0" w:color="auto"/>
        <w:left w:val="none" w:sz="0" w:space="0" w:color="auto"/>
        <w:bottom w:val="none" w:sz="0" w:space="0" w:color="auto"/>
        <w:right w:val="none" w:sz="0" w:space="0" w:color="auto"/>
      </w:divBdr>
    </w:div>
    <w:div w:id="1801805819">
      <w:bodyDiv w:val="1"/>
      <w:marLeft w:val="0"/>
      <w:marRight w:val="0"/>
      <w:marTop w:val="0"/>
      <w:marBottom w:val="0"/>
      <w:divBdr>
        <w:top w:val="none" w:sz="0" w:space="0" w:color="auto"/>
        <w:left w:val="none" w:sz="0" w:space="0" w:color="auto"/>
        <w:bottom w:val="none" w:sz="0" w:space="0" w:color="auto"/>
        <w:right w:val="none" w:sz="0" w:space="0" w:color="auto"/>
      </w:divBdr>
    </w:div>
    <w:div w:id="1802992523">
      <w:bodyDiv w:val="1"/>
      <w:marLeft w:val="0"/>
      <w:marRight w:val="0"/>
      <w:marTop w:val="0"/>
      <w:marBottom w:val="0"/>
      <w:divBdr>
        <w:top w:val="none" w:sz="0" w:space="0" w:color="auto"/>
        <w:left w:val="none" w:sz="0" w:space="0" w:color="auto"/>
        <w:bottom w:val="none" w:sz="0" w:space="0" w:color="auto"/>
        <w:right w:val="none" w:sz="0" w:space="0" w:color="auto"/>
      </w:divBdr>
    </w:div>
    <w:div w:id="1805196047">
      <w:bodyDiv w:val="1"/>
      <w:marLeft w:val="0"/>
      <w:marRight w:val="0"/>
      <w:marTop w:val="0"/>
      <w:marBottom w:val="0"/>
      <w:divBdr>
        <w:top w:val="none" w:sz="0" w:space="0" w:color="auto"/>
        <w:left w:val="none" w:sz="0" w:space="0" w:color="auto"/>
        <w:bottom w:val="none" w:sz="0" w:space="0" w:color="auto"/>
        <w:right w:val="none" w:sz="0" w:space="0" w:color="auto"/>
      </w:divBdr>
    </w:div>
    <w:div w:id="1805460813">
      <w:bodyDiv w:val="1"/>
      <w:marLeft w:val="0"/>
      <w:marRight w:val="0"/>
      <w:marTop w:val="0"/>
      <w:marBottom w:val="0"/>
      <w:divBdr>
        <w:top w:val="none" w:sz="0" w:space="0" w:color="auto"/>
        <w:left w:val="none" w:sz="0" w:space="0" w:color="auto"/>
        <w:bottom w:val="none" w:sz="0" w:space="0" w:color="auto"/>
        <w:right w:val="none" w:sz="0" w:space="0" w:color="auto"/>
      </w:divBdr>
    </w:div>
    <w:div w:id="1811945277">
      <w:bodyDiv w:val="1"/>
      <w:marLeft w:val="0"/>
      <w:marRight w:val="0"/>
      <w:marTop w:val="0"/>
      <w:marBottom w:val="0"/>
      <w:divBdr>
        <w:top w:val="none" w:sz="0" w:space="0" w:color="auto"/>
        <w:left w:val="none" w:sz="0" w:space="0" w:color="auto"/>
        <w:bottom w:val="none" w:sz="0" w:space="0" w:color="auto"/>
        <w:right w:val="none" w:sz="0" w:space="0" w:color="auto"/>
      </w:divBdr>
    </w:div>
    <w:div w:id="1819804571">
      <w:bodyDiv w:val="1"/>
      <w:marLeft w:val="0"/>
      <w:marRight w:val="0"/>
      <w:marTop w:val="0"/>
      <w:marBottom w:val="0"/>
      <w:divBdr>
        <w:top w:val="none" w:sz="0" w:space="0" w:color="auto"/>
        <w:left w:val="none" w:sz="0" w:space="0" w:color="auto"/>
        <w:bottom w:val="none" w:sz="0" w:space="0" w:color="auto"/>
        <w:right w:val="none" w:sz="0" w:space="0" w:color="auto"/>
      </w:divBdr>
    </w:div>
    <w:div w:id="1820731592">
      <w:bodyDiv w:val="1"/>
      <w:marLeft w:val="0"/>
      <w:marRight w:val="0"/>
      <w:marTop w:val="0"/>
      <w:marBottom w:val="0"/>
      <w:divBdr>
        <w:top w:val="none" w:sz="0" w:space="0" w:color="auto"/>
        <w:left w:val="none" w:sz="0" w:space="0" w:color="auto"/>
        <w:bottom w:val="none" w:sz="0" w:space="0" w:color="auto"/>
        <w:right w:val="none" w:sz="0" w:space="0" w:color="auto"/>
      </w:divBdr>
    </w:div>
    <w:div w:id="1823421549">
      <w:bodyDiv w:val="1"/>
      <w:marLeft w:val="0"/>
      <w:marRight w:val="0"/>
      <w:marTop w:val="0"/>
      <w:marBottom w:val="0"/>
      <w:divBdr>
        <w:top w:val="none" w:sz="0" w:space="0" w:color="auto"/>
        <w:left w:val="none" w:sz="0" w:space="0" w:color="auto"/>
        <w:bottom w:val="none" w:sz="0" w:space="0" w:color="auto"/>
        <w:right w:val="none" w:sz="0" w:space="0" w:color="auto"/>
      </w:divBdr>
    </w:div>
    <w:div w:id="1826121025">
      <w:bodyDiv w:val="1"/>
      <w:marLeft w:val="0"/>
      <w:marRight w:val="0"/>
      <w:marTop w:val="0"/>
      <w:marBottom w:val="0"/>
      <w:divBdr>
        <w:top w:val="none" w:sz="0" w:space="0" w:color="auto"/>
        <w:left w:val="none" w:sz="0" w:space="0" w:color="auto"/>
        <w:bottom w:val="none" w:sz="0" w:space="0" w:color="auto"/>
        <w:right w:val="none" w:sz="0" w:space="0" w:color="auto"/>
      </w:divBdr>
    </w:div>
    <w:div w:id="1826431740">
      <w:bodyDiv w:val="1"/>
      <w:marLeft w:val="0"/>
      <w:marRight w:val="0"/>
      <w:marTop w:val="0"/>
      <w:marBottom w:val="0"/>
      <w:divBdr>
        <w:top w:val="none" w:sz="0" w:space="0" w:color="auto"/>
        <w:left w:val="none" w:sz="0" w:space="0" w:color="auto"/>
        <w:bottom w:val="none" w:sz="0" w:space="0" w:color="auto"/>
        <w:right w:val="none" w:sz="0" w:space="0" w:color="auto"/>
      </w:divBdr>
    </w:div>
    <w:div w:id="1830516728">
      <w:bodyDiv w:val="1"/>
      <w:marLeft w:val="0"/>
      <w:marRight w:val="0"/>
      <w:marTop w:val="0"/>
      <w:marBottom w:val="0"/>
      <w:divBdr>
        <w:top w:val="none" w:sz="0" w:space="0" w:color="auto"/>
        <w:left w:val="none" w:sz="0" w:space="0" w:color="auto"/>
        <w:bottom w:val="none" w:sz="0" w:space="0" w:color="auto"/>
        <w:right w:val="none" w:sz="0" w:space="0" w:color="auto"/>
      </w:divBdr>
    </w:div>
    <w:div w:id="1832410777">
      <w:bodyDiv w:val="1"/>
      <w:marLeft w:val="0"/>
      <w:marRight w:val="0"/>
      <w:marTop w:val="0"/>
      <w:marBottom w:val="0"/>
      <w:divBdr>
        <w:top w:val="none" w:sz="0" w:space="0" w:color="auto"/>
        <w:left w:val="none" w:sz="0" w:space="0" w:color="auto"/>
        <w:bottom w:val="none" w:sz="0" w:space="0" w:color="auto"/>
        <w:right w:val="none" w:sz="0" w:space="0" w:color="auto"/>
      </w:divBdr>
    </w:div>
    <w:div w:id="1836412041">
      <w:bodyDiv w:val="1"/>
      <w:marLeft w:val="0"/>
      <w:marRight w:val="0"/>
      <w:marTop w:val="0"/>
      <w:marBottom w:val="0"/>
      <w:divBdr>
        <w:top w:val="none" w:sz="0" w:space="0" w:color="auto"/>
        <w:left w:val="none" w:sz="0" w:space="0" w:color="auto"/>
        <w:bottom w:val="none" w:sz="0" w:space="0" w:color="auto"/>
        <w:right w:val="none" w:sz="0" w:space="0" w:color="auto"/>
      </w:divBdr>
    </w:div>
    <w:div w:id="1840579973">
      <w:bodyDiv w:val="1"/>
      <w:marLeft w:val="0"/>
      <w:marRight w:val="0"/>
      <w:marTop w:val="0"/>
      <w:marBottom w:val="0"/>
      <w:divBdr>
        <w:top w:val="none" w:sz="0" w:space="0" w:color="auto"/>
        <w:left w:val="none" w:sz="0" w:space="0" w:color="auto"/>
        <w:bottom w:val="none" w:sz="0" w:space="0" w:color="auto"/>
        <w:right w:val="none" w:sz="0" w:space="0" w:color="auto"/>
      </w:divBdr>
    </w:div>
    <w:div w:id="1844970653">
      <w:bodyDiv w:val="1"/>
      <w:marLeft w:val="0"/>
      <w:marRight w:val="0"/>
      <w:marTop w:val="0"/>
      <w:marBottom w:val="0"/>
      <w:divBdr>
        <w:top w:val="none" w:sz="0" w:space="0" w:color="auto"/>
        <w:left w:val="none" w:sz="0" w:space="0" w:color="auto"/>
        <w:bottom w:val="none" w:sz="0" w:space="0" w:color="auto"/>
        <w:right w:val="none" w:sz="0" w:space="0" w:color="auto"/>
      </w:divBdr>
    </w:div>
    <w:div w:id="1845126895">
      <w:bodyDiv w:val="1"/>
      <w:marLeft w:val="0"/>
      <w:marRight w:val="0"/>
      <w:marTop w:val="0"/>
      <w:marBottom w:val="0"/>
      <w:divBdr>
        <w:top w:val="none" w:sz="0" w:space="0" w:color="auto"/>
        <w:left w:val="none" w:sz="0" w:space="0" w:color="auto"/>
        <w:bottom w:val="none" w:sz="0" w:space="0" w:color="auto"/>
        <w:right w:val="none" w:sz="0" w:space="0" w:color="auto"/>
      </w:divBdr>
    </w:div>
    <w:div w:id="1846087153">
      <w:bodyDiv w:val="1"/>
      <w:marLeft w:val="0"/>
      <w:marRight w:val="0"/>
      <w:marTop w:val="0"/>
      <w:marBottom w:val="0"/>
      <w:divBdr>
        <w:top w:val="none" w:sz="0" w:space="0" w:color="auto"/>
        <w:left w:val="none" w:sz="0" w:space="0" w:color="auto"/>
        <w:bottom w:val="none" w:sz="0" w:space="0" w:color="auto"/>
        <w:right w:val="none" w:sz="0" w:space="0" w:color="auto"/>
      </w:divBdr>
    </w:div>
    <w:div w:id="1852530490">
      <w:bodyDiv w:val="1"/>
      <w:marLeft w:val="0"/>
      <w:marRight w:val="0"/>
      <w:marTop w:val="0"/>
      <w:marBottom w:val="0"/>
      <w:divBdr>
        <w:top w:val="none" w:sz="0" w:space="0" w:color="auto"/>
        <w:left w:val="none" w:sz="0" w:space="0" w:color="auto"/>
        <w:bottom w:val="none" w:sz="0" w:space="0" w:color="auto"/>
        <w:right w:val="none" w:sz="0" w:space="0" w:color="auto"/>
      </w:divBdr>
    </w:div>
    <w:div w:id="1863661250">
      <w:bodyDiv w:val="1"/>
      <w:marLeft w:val="0"/>
      <w:marRight w:val="0"/>
      <w:marTop w:val="0"/>
      <w:marBottom w:val="0"/>
      <w:divBdr>
        <w:top w:val="none" w:sz="0" w:space="0" w:color="auto"/>
        <w:left w:val="none" w:sz="0" w:space="0" w:color="auto"/>
        <w:bottom w:val="none" w:sz="0" w:space="0" w:color="auto"/>
        <w:right w:val="none" w:sz="0" w:space="0" w:color="auto"/>
      </w:divBdr>
    </w:div>
    <w:div w:id="1868249250">
      <w:bodyDiv w:val="1"/>
      <w:marLeft w:val="0"/>
      <w:marRight w:val="0"/>
      <w:marTop w:val="0"/>
      <w:marBottom w:val="0"/>
      <w:divBdr>
        <w:top w:val="none" w:sz="0" w:space="0" w:color="auto"/>
        <w:left w:val="none" w:sz="0" w:space="0" w:color="auto"/>
        <w:bottom w:val="none" w:sz="0" w:space="0" w:color="auto"/>
        <w:right w:val="none" w:sz="0" w:space="0" w:color="auto"/>
      </w:divBdr>
    </w:div>
    <w:div w:id="1868595098">
      <w:bodyDiv w:val="1"/>
      <w:marLeft w:val="0"/>
      <w:marRight w:val="0"/>
      <w:marTop w:val="0"/>
      <w:marBottom w:val="0"/>
      <w:divBdr>
        <w:top w:val="none" w:sz="0" w:space="0" w:color="auto"/>
        <w:left w:val="none" w:sz="0" w:space="0" w:color="auto"/>
        <w:bottom w:val="none" w:sz="0" w:space="0" w:color="auto"/>
        <w:right w:val="none" w:sz="0" w:space="0" w:color="auto"/>
      </w:divBdr>
    </w:div>
    <w:div w:id="1868710409">
      <w:bodyDiv w:val="1"/>
      <w:marLeft w:val="0"/>
      <w:marRight w:val="0"/>
      <w:marTop w:val="0"/>
      <w:marBottom w:val="0"/>
      <w:divBdr>
        <w:top w:val="none" w:sz="0" w:space="0" w:color="auto"/>
        <w:left w:val="none" w:sz="0" w:space="0" w:color="auto"/>
        <w:bottom w:val="none" w:sz="0" w:space="0" w:color="auto"/>
        <w:right w:val="none" w:sz="0" w:space="0" w:color="auto"/>
      </w:divBdr>
    </w:div>
    <w:div w:id="1874804996">
      <w:bodyDiv w:val="1"/>
      <w:marLeft w:val="0"/>
      <w:marRight w:val="0"/>
      <w:marTop w:val="0"/>
      <w:marBottom w:val="0"/>
      <w:divBdr>
        <w:top w:val="none" w:sz="0" w:space="0" w:color="auto"/>
        <w:left w:val="none" w:sz="0" w:space="0" w:color="auto"/>
        <w:bottom w:val="none" w:sz="0" w:space="0" w:color="auto"/>
        <w:right w:val="none" w:sz="0" w:space="0" w:color="auto"/>
      </w:divBdr>
    </w:div>
    <w:div w:id="1881429677">
      <w:bodyDiv w:val="1"/>
      <w:marLeft w:val="0"/>
      <w:marRight w:val="0"/>
      <w:marTop w:val="0"/>
      <w:marBottom w:val="0"/>
      <w:divBdr>
        <w:top w:val="none" w:sz="0" w:space="0" w:color="auto"/>
        <w:left w:val="none" w:sz="0" w:space="0" w:color="auto"/>
        <w:bottom w:val="none" w:sz="0" w:space="0" w:color="auto"/>
        <w:right w:val="none" w:sz="0" w:space="0" w:color="auto"/>
      </w:divBdr>
    </w:div>
    <w:div w:id="1885756243">
      <w:bodyDiv w:val="1"/>
      <w:marLeft w:val="0"/>
      <w:marRight w:val="0"/>
      <w:marTop w:val="0"/>
      <w:marBottom w:val="0"/>
      <w:divBdr>
        <w:top w:val="none" w:sz="0" w:space="0" w:color="auto"/>
        <w:left w:val="none" w:sz="0" w:space="0" w:color="auto"/>
        <w:bottom w:val="none" w:sz="0" w:space="0" w:color="auto"/>
        <w:right w:val="none" w:sz="0" w:space="0" w:color="auto"/>
      </w:divBdr>
    </w:div>
    <w:div w:id="1889411510">
      <w:bodyDiv w:val="1"/>
      <w:marLeft w:val="0"/>
      <w:marRight w:val="0"/>
      <w:marTop w:val="0"/>
      <w:marBottom w:val="0"/>
      <w:divBdr>
        <w:top w:val="none" w:sz="0" w:space="0" w:color="auto"/>
        <w:left w:val="none" w:sz="0" w:space="0" w:color="auto"/>
        <w:bottom w:val="none" w:sz="0" w:space="0" w:color="auto"/>
        <w:right w:val="none" w:sz="0" w:space="0" w:color="auto"/>
      </w:divBdr>
    </w:div>
    <w:div w:id="1892686429">
      <w:bodyDiv w:val="1"/>
      <w:marLeft w:val="0"/>
      <w:marRight w:val="0"/>
      <w:marTop w:val="0"/>
      <w:marBottom w:val="0"/>
      <w:divBdr>
        <w:top w:val="none" w:sz="0" w:space="0" w:color="auto"/>
        <w:left w:val="none" w:sz="0" w:space="0" w:color="auto"/>
        <w:bottom w:val="none" w:sz="0" w:space="0" w:color="auto"/>
        <w:right w:val="none" w:sz="0" w:space="0" w:color="auto"/>
      </w:divBdr>
    </w:div>
    <w:div w:id="1898973414">
      <w:bodyDiv w:val="1"/>
      <w:marLeft w:val="0"/>
      <w:marRight w:val="0"/>
      <w:marTop w:val="0"/>
      <w:marBottom w:val="0"/>
      <w:divBdr>
        <w:top w:val="none" w:sz="0" w:space="0" w:color="auto"/>
        <w:left w:val="none" w:sz="0" w:space="0" w:color="auto"/>
        <w:bottom w:val="none" w:sz="0" w:space="0" w:color="auto"/>
        <w:right w:val="none" w:sz="0" w:space="0" w:color="auto"/>
      </w:divBdr>
    </w:div>
    <w:div w:id="1902444805">
      <w:bodyDiv w:val="1"/>
      <w:marLeft w:val="0"/>
      <w:marRight w:val="0"/>
      <w:marTop w:val="0"/>
      <w:marBottom w:val="0"/>
      <w:divBdr>
        <w:top w:val="none" w:sz="0" w:space="0" w:color="auto"/>
        <w:left w:val="none" w:sz="0" w:space="0" w:color="auto"/>
        <w:bottom w:val="none" w:sz="0" w:space="0" w:color="auto"/>
        <w:right w:val="none" w:sz="0" w:space="0" w:color="auto"/>
      </w:divBdr>
    </w:div>
    <w:div w:id="1909461195">
      <w:bodyDiv w:val="1"/>
      <w:marLeft w:val="0"/>
      <w:marRight w:val="0"/>
      <w:marTop w:val="0"/>
      <w:marBottom w:val="0"/>
      <w:divBdr>
        <w:top w:val="none" w:sz="0" w:space="0" w:color="auto"/>
        <w:left w:val="none" w:sz="0" w:space="0" w:color="auto"/>
        <w:bottom w:val="none" w:sz="0" w:space="0" w:color="auto"/>
        <w:right w:val="none" w:sz="0" w:space="0" w:color="auto"/>
      </w:divBdr>
    </w:div>
    <w:div w:id="1912614908">
      <w:bodyDiv w:val="1"/>
      <w:marLeft w:val="0"/>
      <w:marRight w:val="0"/>
      <w:marTop w:val="0"/>
      <w:marBottom w:val="0"/>
      <w:divBdr>
        <w:top w:val="none" w:sz="0" w:space="0" w:color="auto"/>
        <w:left w:val="none" w:sz="0" w:space="0" w:color="auto"/>
        <w:bottom w:val="none" w:sz="0" w:space="0" w:color="auto"/>
        <w:right w:val="none" w:sz="0" w:space="0" w:color="auto"/>
      </w:divBdr>
    </w:div>
    <w:div w:id="1917202360">
      <w:bodyDiv w:val="1"/>
      <w:marLeft w:val="0"/>
      <w:marRight w:val="0"/>
      <w:marTop w:val="0"/>
      <w:marBottom w:val="0"/>
      <w:divBdr>
        <w:top w:val="none" w:sz="0" w:space="0" w:color="auto"/>
        <w:left w:val="none" w:sz="0" w:space="0" w:color="auto"/>
        <w:bottom w:val="none" w:sz="0" w:space="0" w:color="auto"/>
        <w:right w:val="none" w:sz="0" w:space="0" w:color="auto"/>
      </w:divBdr>
    </w:div>
    <w:div w:id="1917280068">
      <w:bodyDiv w:val="1"/>
      <w:marLeft w:val="0"/>
      <w:marRight w:val="0"/>
      <w:marTop w:val="0"/>
      <w:marBottom w:val="0"/>
      <w:divBdr>
        <w:top w:val="none" w:sz="0" w:space="0" w:color="auto"/>
        <w:left w:val="none" w:sz="0" w:space="0" w:color="auto"/>
        <w:bottom w:val="none" w:sz="0" w:space="0" w:color="auto"/>
        <w:right w:val="none" w:sz="0" w:space="0" w:color="auto"/>
      </w:divBdr>
    </w:div>
    <w:div w:id="1926839055">
      <w:bodyDiv w:val="1"/>
      <w:marLeft w:val="0"/>
      <w:marRight w:val="0"/>
      <w:marTop w:val="0"/>
      <w:marBottom w:val="0"/>
      <w:divBdr>
        <w:top w:val="none" w:sz="0" w:space="0" w:color="auto"/>
        <w:left w:val="none" w:sz="0" w:space="0" w:color="auto"/>
        <w:bottom w:val="none" w:sz="0" w:space="0" w:color="auto"/>
        <w:right w:val="none" w:sz="0" w:space="0" w:color="auto"/>
      </w:divBdr>
    </w:div>
    <w:div w:id="1927227295">
      <w:bodyDiv w:val="1"/>
      <w:marLeft w:val="0"/>
      <w:marRight w:val="0"/>
      <w:marTop w:val="0"/>
      <w:marBottom w:val="0"/>
      <w:divBdr>
        <w:top w:val="none" w:sz="0" w:space="0" w:color="auto"/>
        <w:left w:val="none" w:sz="0" w:space="0" w:color="auto"/>
        <w:bottom w:val="none" w:sz="0" w:space="0" w:color="auto"/>
        <w:right w:val="none" w:sz="0" w:space="0" w:color="auto"/>
      </w:divBdr>
    </w:div>
    <w:div w:id="1929343731">
      <w:bodyDiv w:val="1"/>
      <w:marLeft w:val="0"/>
      <w:marRight w:val="0"/>
      <w:marTop w:val="0"/>
      <w:marBottom w:val="0"/>
      <w:divBdr>
        <w:top w:val="none" w:sz="0" w:space="0" w:color="auto"/>
        <w:left w:val="none" w:sz="0" w:space="0" w:color="auto"/>
        <w:bottom w:val="none" w:sz="0" w:space="0" w:color="auto"/>
        <w:right w:val="none" w:sz="0" w:space="0" w:color="auto"/>
      </w:divBdr>
    </w:div>
    <w:div w:id="1931305521">
      <w:bodyDiv w:val="1"/>
      <w:marLeft w:val="0"/>
      <w:marRight w:val="0"/>
      <w:marTop w:val="0"/>
      <w:marBottom w:val="0"/>
      <w:divBdr>
        <w:top w:val="none" w:sz="0" w:space="0" w:color="auto"/>
        <w:left w:val="none" w:sz="0" w:space="0" w:color="auto"/>
        <w:bottom w:val="none" w:sz="0" w:space="0" w:color="auto"/>
        <w:right w:val="none" w:sz="0" w:space="0" w:color="auto"/>
      </w:divBdr>
    </w:div>
    <w:div w:id="1931507060">
      <w:bodyDiv w:val="1"/>
      <w:marLeft w:val="0"/>
      <w:marRight w:val="0"/>
      <w:marTop w:val="0"/>
      <w:marBottom w:val="0"/>
      <w:divBdr>
        <w:top w:val="none" w:sz="0" w:space="0" w:color="auto"/>
        <w:left w:val="none" w:sz="0" w:space="0" w:color="auto"/>
        <w:bottom w:val="none" w:sz="0" w:space="0" w:color="auto"/>
        <w:right w:val="none" w:sz="0" w:space="0" w:color="auto"/>
      </w:divBdr>
    </w:div>
    <w:div w:id="1933926344">
      <w:bodyDiv w:val="1"/>
      <w:marLeft w:val="0"/>
      <w:marRight w:val="0"/>
      <w:marTop w:val="0"/>
      <w:marBottom w:val="0"/>
      <w:divBdr>
        <w:top w:val="none" w:sz="0" w:space="0" w:color="auto"/>
        <w:left w:val="none" w:sz="0" w:space="0" w:color="auto"/>
        <w:bottom w:val="none" w:sz="0" w:space="0" w:color="auto"/>
        <w:right w:val="none" w:sz="0" w:space="0" w:color="auto"/>
      </w:divBdr>
    </w:div>
    <w:div w:id="1951938326">
      <w:bodyDiv w:val="1"/>
      <w:marLeft w:val="0"/>
      <w:marRight w:val="0"/>
      <w:marTop w:val="0"/>
      <w:marBottom w:val="0"/>
      <w:divBdr>
        <w:top w:val="none" w:sz="0" w:space="0" w:color="auto"/>
        <w:left w:val="none" w:sz="0" w:space="0" w:color="auto"/>
        <w:bottom w:val="none" w:sz="0" w:space="0" w:color="auto"/>
        <w:right w:val="none" w:sz="0" w:space="0" w:color="auto"/>
      </w:divBdr>
    </w:div>
    <w:div w:id="1961836586">
      <w:bodyDiv w:val="1"/>
      <w:marLeft w:val="0"/>
      <w:marRight w:val="0"/>
      <w:marTop w:val="0"/>
      <w:marBottom w:val="0"/>
      <w:divBdr>
        <w:top w:val="none" w:sz="0" w:space="0" w:color="auto"/>
        <w:left w:val="none" w:sz="0" w:space="0" w:color="auto"/>
        <w:bottom w:val="none" w:sz="0" w:space="0" w:color="auto"/>
        <w:right w:val="none" w:sz="0" w:space="0" w:color="auto"/>
      </w:divBdr>
    </w:div>
    <w:div w:id="1962876734">
      <w:bodyDiv w:val="1"/>
      <w:marLeft w:val="0"/>
      <w:marRight w:val="0"/>
      <w:marTop w:val="0"/>
      <w:marBottom w:val="0"/>
      <w:divBdr>
        <w:top w:val="none" w:sz="0" w:space="0" w:color="auto"/>
        <w:left w:val="none" w:sz="0" w:space="0" w:color="auto"/>
        <w:bottom w:val="none" w:sz="0" w:space="0" w:color="auto"/>
        <w:right w:val="none" w:sz="0" w:space="0" w:color="auto"/>
      </w:divBdr>
    </w:div>
    <w:div w:id="1964530896">
      <w:bodyDiv w:val="1"/>
      <w:marLeft w:val="0"/>
      <w:marRight w:val="0"/>
      <w:marTop w:val="0"/>
      <w:marBottom w:val="0"/>
      <w:divBdr>
        <w:top w:val="none" w:sz="0" w:space="0" w:color="auto"/>
        <w:left w:val="none" w:sz="0" w:space="0" w:color="auto"/>
        <w:bottom w:val="none" w:sz="0" w:space="0" w:color="auto"/>
        <w:right w:val="none" w:sz="0" w:space="0" w:color="auto"/>
      </w:divBdr>
    </w:div>
    <w:div w:id="1966504114">
      <w:bodyDiv w:val="1"/>
      <w:marLeft w:val="0"/>
      <w:marRight w:val="0"/>
      <w:marTop w:val="0"/>
      <w:marBottom w:val="0"/>
      <w:divBdr>
        <w:top w:val="none" w:sz="0" w:space="0" w:color="auto"/>
        <w:left w:val="none" w:sz="0" w:space="0" w:color="auto"/>
        <w:bottom w:val="none" w:sz="0" w:space="0" w:color="auto"/>
        <w:right w:val="none" w:sz="0" w:space="0" w:color="auto"/>
      </w:divBdr>
    </w:div>
    <w:div w:id="1969388120">
      <w:bodyDiv w:val="1"/>
      <w:marLeft w:val="0"/>
      <w:marRight w:val="0"/>
      <w:marTop w:val="0"/>
      <w:marBottom w:val="0"/>
      <w:divBdr>
        <w:top w:val="none" w:sz="0" w:space="0" w:color="auto"/>
        <w:left w:val="none" w:sz="0" w:space="0" w:color="auto"/>
        <w:bottom w:val="none" w:sz="0" w:space="0" w:color="auto"/>
        <w:right w:val="none" w:sz="0" w:space="0" w:color="auto"/>
      </w:divBdr>
    </w:div>
    <w:div w:id="1969581373">
      <w:bodyDiv w:val="1"/>
      <w:marLeft w:val="0"/>
      <w:marRight w:val="0"/>
      <w:marTop w:val="0"/>
      <w:marBottom w:val="0"/>
      <w:divBdr>
        <w:top w:val="none" w:sz="0" w:space="0" w:color="auto"/>
        <w:left w:val="none" w:sz="0" w:space="0" w:color="auto"/>
        <w:bottom w:val="none" w:sz="0" w:space="0" w:color="auto"/>
        <w:right w:val="none" w:sz="0" w:space="0" w:color="auto"/>
      </w:divBdr>
    </w:div>
    <w:div w:id="1971742157">
      <w:bodyDiv w:val="1"/>
      <w:marLeft w:val="0"/>
      <w:marRight w:val="0"/>
      <w:marTop w:val="0"/>
      <w:marBottom w:val="0"/>
      <w:divBdr>
        <w:top w:val="none" w:sz="0" w:space="0" w:color="auto"/>
        <w:left w:val="none" w:sz="0" w:space="0" w:color="auto"/>
        <w:bottom w:val="none" w:sz="0" w:space="0" w:color="auto"/>
        <w:right w:val="none" w:sz="0" w:space="0" w:color="auto"/>
      </w:divBdr>
    </w:div>
    <w:div w:id="1980920082">
      <w:bodyDiv w:val="1"/>
      <w:marLeft w:val="0"/>
      <w:marRight w:val="0"/>
      <w:marTop w:val="0"/>
      <w:marBottom w:val="0"/>
      <w:divBdr>
        <w:top w:val="none" w:sz="0" w:space="0" w:color="auto"/>
        <w:left w:val="none" w:sz="0" w:space="0" w:color="auto"/>
        <w:bottom w:val="none" w:sz="0" w:space="0" w:color="auto"/>
        <w:right w:val="none" w:sz="0" w:space="0" w:color="auto"/>
      </w:divBdr>
    </w:div>
    <w:div w:id="1981841319">
      <w:bodyDiv w:val="1"/>
      <w:marLeft w:val="0"/>
      <w:marRight w:val="0"/>
      <w:marTop w:val="0"/>
      <w:marBottom w:val="0"/>
      <w:divBdr>
        <w:top w:val="none" w:sz="0" w:space="0" w:color="auto"/>
        <w:left w:val="none" w:sz="0" w:space="0" w:color="auto"/>
        <w:bottom w:val="none" w:sz="0" w:space="0" w:color="auto"/>
        <w:right w:val="none" w:sz="0" w:space="0" w:color="auto"/>
      </w:divBdr>
    </w:div>
    <w:div w:id="1984499726">
      <w:bodyDiv w:val="1"/>
      <w:marLeft w:val="0"/>
      <w:marRight w:val="0"/>
      <w:marTop w:val="0"/>
      <w:marBottom w:val="0"/>
      <w:divBdr>
        <w:top w:val="none" w:sz="0" w:space="0" w:color="auto"/>
        <w:left w:val="none" w:sz="0" w:space="0" w:color="auto"/>
        <w:bottom w:val="none" w:sz="0" w:space="0" w:color="auto"/>
        <w:right w:val="none" w:sz="0" w:space="0" w:color="auto"/>
      </w:divBdr>
    </w:div>
    <w:div w:id="1994143369">
      <w:bodyDiv w:val="1"/>
      <w:marLeft w:val="0"/>
      <w:marRight w:val="0"/>
      <w:marTop w:val="0"/>
      <w:marBottom w:val="0"/>
      <w:divBdr>
        <w:top w:val="none" w:sz="0" w:space="0" w:color="auto"/>
        <w:left w:val="none" w:sz="0" w:space="0" w:color="auto"/>
        <w:bottom w:val="none" w:sz="0" w:space="0" w:color="auto"/>
        <w:right w:val="none" w:sz="0" w:space="0" w:color="auto"/>
      </w:divBdr>
    </w:div>
    <w:div w:id="1996568221">
      <w:bodyDiv w:val="1"/>
      <w:marLeft w:val="0"/>
      <w:marRight w:val="0"/>
      <w:marTop w:val="0"/>
      <w:marBottom w:val="0"/>
      <w:divBdr>
        <w:top w:val="none" w:sz="0" w:space="0" w:color="auto"/>
        <w:left w:val="none" w:sz="0" w:space="0" w:color="auto"/>
        <w:bottom w:val="none" w:sz="0" w:space="0" w:color="auto"/>
        <w:right w:val="none" w:sz="0" w:space="0" w:color="auto"/>
      </w:divBdr>
    </w:div>
    <w:div w:id="1996907866">
      <w:bodyDiv w:val="1"/>
      <w:marLeft w:val="0"/>
      <w:marRight w:val="0"/>
      <w:marTop w:val="0"/>
      <w:marBottom w:val="0"/>
      <w:divBdr>
        <w:top w:val="none" w:sz="0" w:space="0" w:color="auto"/>
        <w:left w:val="none" w:sz="0" w:space="0" w:color="auto"/>
        <w:bottom w:val="none" w:sz="0" w:space="0" w:color="auto"/>
        <w:right w:val="none" w:sz="0" w:space="0" w:color="auto"/>
      </w:divBdr>
    </w:div>
    <w:div w:id="1997686235">
      <w:bodyDiv w:val="1"/>
      <w:marLeft w:val="0"/>
      <w:marRight w:val="0"/>
      <w:marTop w:val="0"/>
      <w:marBottom w:val="0"/>
      <w:divBdr>
        <w:top w:val="none" w:sz="0" w:space="0" w:color="auto"/>
        <w:left w:val="none" w:sz="0" w:space="0" w:color="auto"/>
        <w:bottom w:val="none" w:sz="0" w:space="0" w:color="auto"/>
        <w:right w:val="none" w:sz="0" w:space="0" w:color="auto"/>
      </w:divBdr>
    </w:div>
    <w:div w:id="2002390706">
      <w:bodyDiv w:val="1"/>
      <w:marLeft w:val="0"/>
      <w:marRight w:val="0"/>
      <w:marTop w:val="0"/>
      <w:marBottom w:val="0"/>
      <w:divBdr>
        <w:top w:val="none" w:sz="0" w:space="0" w:color="auto"/>
        <w:left w:val="none" w:sz="0" w:space="0" w:color="auto"/>
        <w:bottom w:val="none" w:sz="0" w:space="0" w:color="auto"/>
        <w:right w:val="none" w:sz="0" w:space="0" w:color="auto"/>
      </w:divBdr>
    </w:div>
    <w:div w:id="2008362704">
      <w:bodyDiv w:val="1"/>
      <w:marLeft w:val="0"/>
      <w:marRight w:val="0"/>
      <w:marTop w:val="0"/>
      <w:marBottom w:val="0"/>
      <w:divBdr>
        <w:top w:val="none" w:sz="0" w:space="0" w:color="auto"/>
        <w:left w:val="none" w:sz="0" w:space="0" w:color="auto"/>
        <w:bottom w:val="none" w:sz="0" w:space="0" w:color="auto"/>
        <w:right w:val="none" w:sz="0" w:space="0" w:color="auto"/>
      </w:divBdr>
    </w:div>
    <w:div w:id="2015452758">
      <w:bodyDiv w:val="1"/>
      <w:marLeft w:val="0"/>
      <w:marRight w:val="0"/>
      <w:marTop w:val="0"/>
      <w:marBottom w:val="0"/>
      <w:divBdr>
        <w:top w:val="none" w:sz="0" w:space="0" w:color="auto"/>
        <w:left w:val="none" w:sz="0" w:space="0" w:color="auto"/>
        <w:bottom w:val="none" w:sz="0" w:space="0" w:color="auto"/>
        <w:right w:val="none" w:sz="0" w:space="0" w:color="auto"/>
      </w:divBdr>
    </w:div>
    <w:div w:id="2017030197">
      <w:bodyDiv w:val="1"/>
      <w:marLeft w:val="0"/>
      <w:marRight w:val="0"/>
      <w:marTop w:val="0"/>
      <w:marBottom w:val="0"/>
      <w:divBdr>
        <w:top w:val="none" w:sz="0" w:space="0" w:color="auto"/>
        <w:left w:val="none" w:sz="0" w:space="0" w:color="auto"/>
        <w:bottom w:val="none" w:sz="0" w:space="0" w:color="auto"/>
        <w:right w:val="none" w:sz="0" w:space="0" w:color="auto"/>
      </w:divBdr>
    </w:div>
    <w:div w:id="2020039684">
      <w:bodyDiv w:val="1"/>
      <w:marLeft w:val="0"/>
      <w:marRight w:val="0"/>
      <w:marTop w:val="0"/>
      <w:marBottom w:val="0"/>
      <w:divBdr>
        <w:top w:val="none" w:sz="0" w:space="0" w:color="auto"/>
        <w:left w:val="none" w:sz="0" w:space="0" w:color="auto"/>
        <w:bottom w:val="none" w:sz="0" w:space="0" w:color="auto"/>
        <w:right w:val="none" w:sz="0" w:space="0" w:color="auto"/>
      </w:divBdr>
    </w:div>
    <w:div w:id="2026243715">
      <w:bodyDiv w:val="1"/>
      <w:marLeft w:val="0"/>
      <w:marRight w:val="0"/>
      <w:marTop w:val="0"/>
      <w:marBottom w:val="0"/>
      <w:divBdr>
        <w:top w:val="none" w:sz="0" w:space="0" w:color="auto"/>
        <w:left w:val="none" w:sz="0" w:space="0" w:color="auto"/>
        <w:bottom w:val="none" w:sz="0" w:space="0" w:color="auto"/>
        <w:right w:val="none" w:sz="0" w:space="0" w:color="auto"/>
      </w:divBdr>
    </w:div>
    <w:div w:id="2026902899">
      <w:bodyDiv w:val="1"/>
      <w:marLeft w:val="0"/>
      <w:marRight w:val="0"/>
      <w:marTop w:val="0"/>
      <w:marBottom w:val="0"/>
      <w:divBdr>
        <w:top w:val="none" w:sz="0" w:space="0" w:color="auto"/>
        <w:left w:val="none" w:sz="0" w:space="0" w:color="auto"/>
        <w:bottom w:val="none" w:sz="0" w:space="0" w:color="auto"/>
        <w:right w:val="none" w:sz="0" w:space="0" w:color="auto"/>
      </w:divBdr>
    </w:div>
    <w:div w:id="2030377574">
      <w:bodyDiv w:val="1"/>
      <w:marLeft w:val="0"/>
      <w:marRight w:val="0"/>
      <w:marTop w:val="0"/>
      <w:marBottom w:val="0"/>
      <w:divBdr>
        <w:top w:val="none" w:sz="0" w:space="0" w:color="auto"/>
        <w:left w:val="none" w:sz="0" w:space="0" w:color="auto"/>
        <w:bottom w:val="none" w:sz="0" w:space="0" w:color="auto"/>
        <w:right w:val="none" w:sz="0" w:space="0" w:color="auto"/>
      </w:divBdr>
    </w:div>
    <w:div w:id="2031830992">
      <w:bodyDiv w:val="1"/>
      <w:marLeft w:val="0"/>
      <w:marRight w:val="0"/>
      <w:marTop w:val="0"/>
      <w:marBottom w:val="0"/>
      <w:divBdr>
        <w:top w:val="none" w:sz="0" w:space="0" w:color="auto"/>
        <w:left w:val="none" w:sz="0" w:space="0" w:color="auto"/>
        <w:bottom w:val="none" w:sz="0" w:space="0" w:color="auto"/>
        <w:right w:val="none" w:sz="0" w:space="0" w:color="auto"/>
      </w:divBdr>
    </w:div>
    <w:div w:id="2032146644">
      <w:bodyDiv w:val="1"/>
      <w:marLeft w:val="0"/>
      <w:marRight w:val="0"/>
      <w:marTop w:val="0"/>
      <w:marBottom w:val="0"/>
      <w:divBdr>
        <w:top w:val="none" w:sz="0" w:space="0" w:color="auto"/>
        <w:left w:val="none" w:sz="0" w:space="0" w:color="auto"/>
        <w:bottom w:val="none" w:sz="0" w:space="0" w:color="auto"/>
        <w:right w:val="none" w:sz="0" w:space="0" w:color="auto"/>
      </w:divBdr>
    </w:div>
    <w:div w:id="2032994985">
      <w:bodyDiv w:val="1"/>
      <w:marLeft w:val="0"/>
      <w:marRight w:val="0"/>
      <w:marTop w:val="0"/>
      <w:marBottom w:val="0"/>
      <w:divBdr>
        <w:top w:val="none" w:sz="0" w:space="0" w:color="auto"/>
        <w:left w:val="none" w:sz="0" w:space="0" w:color="auto"/>
        <w:bottom w:val="none" w:sz="0" w:space="0" w:color="auto"/>
        <w:right w:val="none" w:sz="0" w:space="0" w:color="auto"/>
      </w:divBdr>
    </w:div>
    <w:div w:id="2039088949">
      <w:bodyDiv w:val="1"/>
      <w:marLeft w:val="0"/>
      <w:marRight w:val="0"/>
      <w:marTop w:val="0"/>
      <w:marBottom w:val="0"/>
      <w:divBdr>
        <w:top w:val="none" w:sz="0" w:space="0" w:color="auto"/>
        <w:left w:val="none" w:sz="0" w:space="0" w:color="auto"/>
        <w:bottom w:val="none" w:sz="0" w:space="0" w:color="auto"/>
        <w:right w:val="none" w:sz="0" w:space="0" w:color="auto"/>
      </w:divBdr>
    </w:div>
    <w:div w:id="2046754870">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50110216">
      <w:bodyDiv w:val="1"/>
      <w:marLeft w:val="0"/>
      <w:marRight w:val="0"/>
      <w:marTop w:val="0"/>
      <w:marBottom w:val="0"/>
      <w:divBdr>
        <w:top w:val="none" w:sz="0" w:space="0" w:color="auto"/>
        <w:left w:val="none" w:sz="0" w:space="0" w:color="auto"/>
        <w:bottom w:val="none" w:sz="0" w:space="0" w:color="auto"/>
        <w:right w:val="none" w:sz="0" w:space="0" w:color="auto"/>
      </w:divBdr>
    </w:div>
    <w:div w:id="2052224669">
      <w:bodyDiv w:val="1"/>
      <w:marLeft w:val="0"/>
      <w:marRight w:val="0"/>
      <w:marTop w:val="0"/>
      <w:marBottom w:val="0"/>
      <w:divBdr>
        <w:top w:val="none" w:sz="0" w:space="0" w:color="auto"/>
        <w:left w:val="none" w:sz="0" w:space="0" w:color="auto"/>
        <w:bottom w:val="none" w:sz="0" w:space="0" w:color="auto"/>
        <w:right w:val="none" w:sz="0" w:space="0" w:color="auto"/>
      </w:divBdr>
    </w:div>
    <w:div w:id="2057926563">
      <w:bodyDiv w:val="1"/>
      <w:marLeft w:val="0"/>
      <w:marRight w:val="0"/>
      <w:marTop w:val="0"/>
      <w:marBottom w:val="0"/>
      <w:divBdr>
        <w:top w:val="none" w:sz="0" w:space="0" w:color="auto"/>
        <w:left w:val="none" w:sz="0" w:space="0" w:color="auto"/>
        <w:bottom w:val="none" w:sz="0" w:space="0" w:color="auto"/>
        <w:right w:val="none" w:sz="0" w:space="0" w:color="auto"/>
      </w:divBdr>
    </w:div>
    <w:div w:id="2060401561">
      <w:bodyDiv w:val="1"/>
      <w:marLeft w:val="0"/>
      <w:marRight w:val="0"/>
      <w:marTop w:val="0"/>
      <w:marBottom w:val="0"/>
      <w:divBdr>
        <w:top w:val="none" w:sz="0" w:space="0" w:color="auto"/>
        <w:left w:val="none" w:sz="0" w:space="0" w:color="auto"/>
        <w:bottom w:val="none" w:sz="0" w:space="0" w:color="auto"/>
        <w:right w:val="none" w:sz="0" w:space="0" w:color="auto"/>
      </w:divBdr>
    </w:div>
    <w:div w:id="2062096590">
      <w:bodyDiv w:val="1"/>
      <w:marLeft w:val="0"/>
      <w:marRight w:val="0"/>
      <w:marTop w:val="0"/>
      <w:marBottom w:val="0"/>
      <w:divBdr>
        <w:top w:val="none" w:sz="0" w:space="0" w:color="auto"/>
        <w:left w:val="none" w:sz="0" w:space="0" w:color="auto"/>
        <w:bottom w:val="none" w:sz="0" w:space="0" w:color="auto"/>
        <w:right w:val="none" w:sz="0" w:space="0" w:color="auto"/>
      </w:divBdr>
    </w:div>
    <w:div w:id="2062362154">
      <w:bodyDiv w:val="1"/>
      <w:marLeft w:val="0"/>
      <w:marRight w:val="0"/>
      <w:marTop w:val="0"/>
      <w:marBottom w:val="0"/>
      <w:divBdr>
        <w:top w:val="none" w:sz="0" w:space="0" w:color="auto"/>
        <w:left w:val="none" w:sz="0" w:space="0" w:color="auto"/>
        <w:bottom w:val="none" w:sz="0" w:space="0" w:color="auto"/>
        <w:right w:val="none" w:sz="0" w:space="0" w:color="auto"/>
      </w:divBdr>
    </w:div>
    <w:div w:id="2066953525">
      <w:bodyDiv w:val="1"/>
      <w:marLeft w:val="0"/>
      <w:marRight w:val="0"/>
      <w:marTop w:val="0"/>
      <w:marBottom w:val="0"/>
      <w:divBdr>
        <w:top w:val="none" w:sz="0" w:space="0" w:color="auto"/>
        <w:left w:val="none" w:sz="0" w:space="0" w:color="auto"/>
        <w:bottom w:val="none" w:sz="0" w:space="0" w:color="auto"/>
        <w:right w:val="none" w:sz="0" w:space="0" w:color="auto"/>
      </w:divBdr>
    </w:div>
    <w:div w:id="2068604182">
      <w:bodyDiv w:val="1"/>
      <w:marLeft w:val="0"/>
      <w:marRight w:val="0"/>
      <w:marTop w:val="0"/>
      <w:marBottom w:val="0"/>
      <w:divBdr>
        <w:top w:val="none" w:sz="0" w:space="0" w:color="auto"/>
        <w:left w:val="none" w:sz="0" w:space="0" w:color="auto"/>
        <w:bottom w:val="none" w:sz="0" w:space="0" w:color="auto"/>
        <w:right w:val="none" w:sz="0" w:space="0" w:color="auto"/>
      </w:divBdr>
    </w:div>
    <w:div w:id="2068721710">
      <w:bodyDiv w:val="1"/>
      <w:marLeft w:val="0"/>
      <w:marRight w:val="0"/>
      <w:marTop w:val="0"/>
      <w:marBottom w:val="0"/>
      <w:divBdr>
        <w:top w:val="none" w:sz="0" w:space="0" w:color="auto"/>
        <w:left w:val="none" w:sz="0" w:space="0" w:color="auto"/>
        <w:bottom w:val="none" w:sz="0" w:space="0" w:color="auto"/>
        <w:right w:val="none" w:sz="0" w:space="0" w:color="auto"/>
      </w:divBdr>
    </w:div>
    <w:div w:id="2075926764">
      <w:bodyDiv w:val="1"/>
      <w:marLeft w:val="0"/>
      <w:marRight w:val="0"/>
      <w:marTop w:val="0"/>
      <w:marBottom w:val="0"/>
      <w:divBdr>
        <w:top w:val="none" w:sz="0" w:space="0" w:color="auto"/>
        <w:left w:val="none" w:sz="0" w:space="0" w:color="auto"/>
        <w:bottom w:val="none" w:sz="0" w:space="0" w:color="auto"/>
        <w:right w:val="none" w:sz="0" w:space="0" w:color="auto"/>
      </w:divBdr>
    </w:div>
    <w:div w:id="2080863567">
      <w:bodyDiv w:val="1"/>
      <w:marLeft w:val="0"/>
      <w:marRight w:val="0"/>
      <w:marTop w:val="0"/>
      <w:marBottom w:val="0"/>
      <w:divBdr>
        <w:top w:val="none" w:sz="0" w:space="0" w:color="auto"/>
        <w:left w:val="none" w:sz="0" w:space="0" w:color="auto"/>
        <w:bottom w:val="none" w:sz="0" w:space="0" w:color="auto"/>
        <w:right w:val="none" w:sz="0" w:space="0" w:color="auto"/>
      </w:divBdr>
    </w:div>
    <w:div w:id="2093894765">
      <w:bodyDiv w:val="1"/>
      <w:marLeft w:val="0"/>
      <w:marRight w:val="0"/>
      <w:marTop w:val="0"/>
      <w:marBottom w:val="0"/>
      <w:divBdr>
        <w:top w:val="none" w:sz="0" w:space="0" w:color="auto"/>
        <w:left w:val="none" w:sz="0" w:space="0" w:color="auto"/>
        <w:bottom w:val="none" w:sz="0" w:space="0" w:color="auto"/>
        <w:right w:val="none" w:sz="0" w:space="0" w:color="auto"/>
      </w:divBdr>
    </w:div>
    <w:div w:id="2099446227">
      <w:bodyDiv w:val="1"/>
      <w:marLeft w:val="0"/>
      <w:marRight w:val="0"/>
      <w:marTop w:val="0"/>
      <w:marBottom w:val="0"/>
      <w:divBdr>
        <w:top w:val="none" w:sz="0" w:space="0" w:color="auto"/>
        <w:left w:val="none" w:sz="0" w:space="0" w:color="auto"/>
        <w:bottom w:val="none" w:sz="0" w:space="0" w:color="auto"/>
        <w:right w:val="none" w:sz="0" w:space="0" w:color="auto"/>
      </w:divBdr>
    </w:div>
    <w:div w:id="2101413840">
      <w:bodyDiv w:val="1"/>
      <w:marLeft w:val="0"/>
      <w:marRight w:val="0"/>
      <w:marTop w:val="0"/>
      <w:marBottom w:val="0"/>
      <w:divBdr>
        <w:top w:val="none" w:sz="0" w:space="0" w:color="auto"/>
        <w:left w:val="none" w:sz="0" w:space="0" w:color="auto"/>
        <w:bottom w:val="none" w:sz="0" w:space="0" w:color="auto"/>
        <w:right w:val="none" w:sz="0" w:space="0" w:color="auto"/>
      </w:divBdr>
    </w:div>
    <w:div w:id="2105223838">
      <w:bodyDiv w:val="1"/>
      <w:marLeft w:val="0"/>
      <w:marRight w:val="0"/>
      <w:marTop w:val="0"/>
      <w:marBottom w:val="0"/>
      <w:divBdr>
        <w:top w:val="none" w:sz="0" w:space="0" w:color="auto"/>
        <w:left w:val="none" w:sz="0" w:space="0" w:color="auto"/>
        <w:bottom w:val="none" w:sz="0" w:space="0" w:color="auto"/>
        <w:right w:val="none" w:sz="0" w:space="0" w:color="auto"/>
      </w:divBdr>
    </w:div>
    <w:div w:id="2106490563">
      <w:bodyDiv w:val="1"/>
      <w:marLeft w:val="0"/>
      <w:marRight w:val="0"/>
      <w:marTop w:val="0"/>
      <w:marBottom w:val="0"/>
      <w:divBdr>
        <w:top w:val="none" w:sz="0" w:space="0" w:color="auto"/>
        <w:left w:val="none" w:sz="0" w:space="0" w:color="auto"/>
        <w:bottom w:val="none" w:sz="0" w:space="0" w:color="auto"/>
        <w:right w:val="none" w:sz="0" w:space="0" w:color="auto"/>
      </w:divBdr>
    </w:div>
    <w:div w:id="2108115749">
      <w:bodyDiv w:val="1"/>
      <w:marLeft w:val="0"/>
      <w:marRight w:val="0"/>
      <w:marTop w:val="0"/>
      <w:marBottom w:val="0"/>
      <w:divBdr>
        <w:top w:val="none" w:sz="0" w:space="0" w:color="auto"/>
        <w:left w:val="none" w:sz="0" w:space="0" w:color="auto"/>
        <w:bottom w:val="none" w:sz="0" w:space="0" w:color="auto"/>
        <w:right w:val="none" w:sz="0" w:space="0" w:color="auto"/>
      </w:divBdr>
    </w:div>
    <w:div w:id="2109158071">
      <w:bodyDiv w:val="1"/>
      <w:marLeft w:val="0"/>
      <w:marRight w:val="0"/>
      <w:marTop w:val="0"/>
      <w:marBottom w:val="0"/>
      <w:divBdr>
        <w:top w:val="none" w:sz="0" w:space="0" w:color="auto"/>
        <w:left w:val="none" w:sz="0" w:space="0" w:color="auto"/>
        <w:bottom w:val="none" w:sz="0" w:space="0" w:color="auto"/>
        <w:right w:val="none" w:sz="0" w:space="0" w:color="auto"/>
      </w:divBdr>
    </w:div>
    <w:div w:id="2113627158">
      <w:bodyDiv w:val="1"/>
      <w:marLeft w:val="0"/>
      <w:marRight w:val="0"/>
      <w:marTop w:val="0"/>
      <w:marBottom w:val="0"/>
      <w:divBdr>
        <w:top w:val="none" w:sz="0" w:space="0" w:color="auto"/>
        <w:left w:val="none" w:sz="0" w:space="0" w:color="auto"/>
        <w:bottom w:val="none" w:sz="0" w:space="0" w:color="auto"/>
        <w:right w:val="none" w:sz="0" w:space="0" w:color="auto"/>
      </w:divBdr>
    </w:div>
    <w:div w:id="2121101713">
      <w:bodyDiv w:val="1"/>
      <w:marLeft w:val="0"/>
      <w:marRight w:val="0"/>
      <w:marTop w:val="0"/>
      <w:marBottom w:val="0"/>
      <w:divBdr>
        <w:top w:val="none" w:sz="0" w:space="0" w:color="auto"/>
        <w:left w:val="none" w:sz="0" w:space="0" w:color="auto"/>
        <w:bottom w:val="none" w:sz="0" w:space="0" w:color="auto"/>
        <w:right w:val="none" w:sz="0" w:space="0" w:color="auto"/>
      </w:divBdr>
    </w:div>
    <w:div w:id="2125884218">
      <w:bodyDiv w:val="1"/>
      <w:marLeft w:val="0"/>
      <w:marRight w:val="0"/>
      <w:marTop w:val="0"/>
      <w:marBottom w:val="0"/>
      <w:divBdr>
        <w:top w:val="none" w:sz="0" w:space="0" w:color="auto"/>
        <w:left w:val="none" w:sz="0" w:space="0" w:color="auto"/>
        <w:bottom w:val="none" w:sz="0" w:space="0" w:color="auto"/>
        <w:right w:val="none" w:sz="0" w:space="0" w:color="auto"/>
      </w:divBdr>
    </w:div>
    <w:div w:id="2127306540">
      <w:bodyDiv w:val="1"/>
      <w:marLeft w:val="0"/>
      <w:marRight w:val="0"/>
      <w:marTop w:val="0"/>
      <w:marBottom w:val="0"/>
      <w:divBdr>
        <w:top w:val="none" w:sz="0" w:space="0" w:color="auto"/>
        <w:left w:val="none" w:sz="0" w:space="0" w:color="auto"/>
        <w:bottom w:val="none" w:sz="0" w:space="0" w:color="auto"/>
        <w:right w:val="none" w:sz="0" w:space="0" w:color="auto"/>
      </w:divBdr>
    </w:div>
    <w:div w:id="2129153268">
      <w:bodyDiv w:val="1"/>
      <w:marLeft w:val="0"/>
      <w:marRight w:val="0"/>
      <w:marTop w:val="0"/>
      <w:marBottom w:val="0"/>
      <w:divBdr>
        <w:top w:val="none" w:sz="0" w:space="0" w:color="auto"/>
        <w:left w:val="none" w:sz="0" w:space="0" w:color="auto"/>
        <w:bottom w:val="none" w:sz="0" w:space="0" w:color="auto"/>
        <w:right w:val="none" w:sz="0" w:space="0" w:color="auto"/>
      </w:divBdr>
    </w:div>
    <w:div w:id="2129346724">
      <w:bodyDiv w:val="1"/>
      <w:marLeft w:val="0"/>
      <w:marRight w:val="0"/>
      <w:marTop w:val="0"/>
      <w:marBottom w:val="0"/>
      <w:divBdr>
        <w:top w:val="none" w:sz="0" w:space="0" w:color="auto"/>
        <w:left w:val="none" w:sz="0" w:space="0" w:color="auto"/>
        <w:bottom w:val="none" w:sz="0" w:space="0" w:color="auto"/>
        <w:right w:val="none" w:sz="0" w:space="0" w:color="auto"/>
      </w:divBdr>
    </w:div>
    <w:div w:id="2132430122">
      <w:bodyDiv w:val="1"/>
      <w:marLeft w:val="0"/>
      <w:marRight w:val="0"/>
      <w:marTop w:val="0"/>
      <w:marBottom w:val="0"/>
      <w:divBdr>
        <w:top w:val="none" w:sz="0" w:space="0" w:color="auto"/>
        <w:left w:val="none" w:sz="0" w:space="0" w:color="auto"/>
        <w:bottom w:val="none" w:sz="0" w:space="0" w:color="auto"/>
        <w:right w:val="none" w:sz="0" w:space="0" w:color="auto"/>
      </w:divBdr>
    </w:div>
    <w:div w:id="2134638964">
      <w:bodyDiv w:val="1"/>
      <w:marLeft w:val="0"/>
      <w:marRight w:val="0"/>
      <w:marTop w:val="0"/>
      <w:marBottom w:val="0"/>
      <w:divBdr>
        <w:top w:val="none" w:sz="0" w:space="0" w:color="auto"/>
        <w:left w:val="none" w:sz="0" w:space="0" w:color="auto"/>
        <w:bottom w:val="none" w:sz="0" w:space="0" w:color="auto"/>
        <w:right w:val="none" w:sz="0" w:space="0" w:color="auto"/>
      </w:divBdr>
    </w:div>
    <w:div w:id="2135250961">
      <w:bodyDiv w:val="1"/>
      <w:marLeft w:val="0"/>
      <w:marRight w:val="0"/>
      <w:marTop w:val="0"/>
      <w:marBottom w:val="0"/>
      <w:divBdr>
        <w:top w:val="none" w:sz="0" w:space="0" w:color="auto"/>
        <w:left w:val="none" w:sz="0" w:space="0" w:color="auto"/>
        <w:bottom w:val="none" w:sz="0" w:space="0" w:color="auto"/>
        <w:right w:val="none" w:sz="0" w:space="0" w:color="auto"/>
      </w:divBdr>
    </w:div>
    <w:div w:id="2137872034">
      <w:bodyDiv w:val="1"/>
      <w:marLeft w:val="0"/>
      <w:marRight w:val="0"/>
      <w:marTop w:val="0"/>
      <w:marBottom w:val="0"/>
      <w:divBdr>
        <w:top w:val="none" w:sz="0" w:space="0" w:color="auto"/>
        <w:left w:val="none" w:sz="0" w:space="0" w:color="auto"/>
        <w:bottom w:val="none" w:sz="0" w:space="0" w:color="auto"/>
        <w:right w:val="none" w:sz="0" w:space="0" w:color="auto"/>
      </w:divBdr>
    </w:div>
    <w:div w:id="2145348466">
      <w:bodyDiv w:val="1"/>
      <w:marLeft w:val="0"/>
      <w:marRight w:val="0"/>
      <w:marTop w:val="0"/>
      <w:marBottom w:val="0"/>
      <w:divBdr>
        <w:top w:val="none" w:sz="0" w:space="0" w:color="auto"/>
        <w:left w:val="none" w:sz="0" w:space="0" w:color="auto"/>
        <w:bottom w:val="none" w:sz="0" w:space="0" w:color="auto"/>
        <w:right w:val="none" w:sz="0" w:space="0" w:color="auto"/>
      </w:divBdr>
    </w:div>
    <w:div w:id="2145535606">
      <w:bodyDiv w:val="1"/>
      <w:marLeft w:val="0"/>
      <w:marRight w:val="0"/>
      <w:marTop w:val="0"/>
      <w:marBottom w:val="0"/>
      <w:divBdr>
        <w:top w:val="none" w:sz="0" w:space="0" w:color="auto"/>
        <w:left w:val="none" w:sz="0" w:space="0" w:color="auto"/>
        <w:bottom w:val="none" w:sz="0" w:space="0" w:color="auto"/>
        <w:right w:val="none" w:sz="0" w:space="0" w:color="auto"/>
      </w:divBdr>
    </w:div>
    <w:div w:id="2146848476">
      <w:bodyDiv w:val="1"/>
      <w:marLeft w:val="0"/>
      <w:marRight w:val="0"/>
      <w:marTop w:val="0"/>
      <w:marBottom w:val="0"/>
      <w:divBdr>
        <w:top w:val="none" w:sz="0" w:space="0" w:color="auto"/>
        <w:left w:val="none" w:sz="0" w:space="0" w:color="auto"/>
        <w:bottom w:val="none" w:sz="0" w:space="0" w:color="auto"/>
        <w:right w:val="none" w:sz="0" w:space="0" w:color="auto"/>
      </w:divBdr>
    </w:div>
    <w:div w:id="2147114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chart" Target="charts/chart3.xml"/><Relationship Id="rId39" Type="http://schemas.openxmlformats.org/officeDocument/2006/relationships/chart" Target="charts/chart11.xml"/><Relationship Id="rId21" Type="http://schemas.openxmlformats.org/officeDocument/2006/relationships/footer" Target="footer5.xml"/><Relationship Id="rId34" Type="http://schemas.openxmlformats.org/officeDocument/2006/relationships/footer" Target="footer13.xml"/><Relationship Id="rId42" Type="http://schemas.openxmlformats.org/officeDocument/2006/relationships/chart" Target="charts/chart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stockphoto.com/photo/flying-drone-quadcopter-over-the-rapeseed-field-gm936319336-256122763" TargetMode="Externa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elarvenoukogu.ee/et" TargetMode="External"/><Relationship Id="rId23" Type="http://schemas.openxmlformats.org/officeDocument/2006/relationships/chart" Target="charts/chart2.xml"/><Relationship Id="rId28" Type="http://schemas.openxmlformats.org/officeDocument/2006/relationships/footer" Target="footer9.xml"/><Relationship Id="rId36" Type="http://schemas.openxmlformats.org/officeDocument/2006/relationships/chart" Target="charts/chart8.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chart" Target="charts/chart6.xml"/><Relationship Id="rId44" Type="http://schemas.openxmlformats.org/officeDocument/2006/relationships/chart" Target="charts/chart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chart" Target="charts/chart4.xml"/><Relationship Id="rId30" Type="http://schemas.openxmlformats.org/officeDocument/2006/relationships/chart" Target="charts/chart5.xml"/><Relationship Id="rId35" Type="http://schemas.openxmlformats.org/officeDocument/2006/relationships/chart" Target="charts/chart7.xml"/><Relationship Id="rId43" Type="http://schemas.openxmlformats.org/officeDocument/2006/relationships/chart" Target="charts/chart1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istockphoto.com/photo/flying-drone-quadcopter-over-the-rapeseed-field-gm936319336-256122763" TargetMode="Externa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chart" Target="charts/chart10.xml"/><Relationship Id="rId46"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chart" Target="charts/chart13.xml"/></Relationships>
</file>

<file path=word/_rels/endnotes.xml.rels><?xml version="1.0" encoding="UTF-8" standalone="yes"?>
<Relationships xmlns="http://schemas.openxmlformats.org/package/2006/relationships"><Relationship Id="rId1" Type="http://schemas.openxmlformats.org/officeDocument/2006/relationships/hyperlink" Target="https://www.oecd.org/els/mig/migration-policy-debates-13.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riik.sise\yld\ram$\FPO\14.%20PROGNOOSID\2022%20kevad\Seletuskiri\Tabelid%20ja%20joonised%20Kevad%202022_rahandus.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riik.sise\yld\ram$\FPO\14.%20PROGNOOSID\2022%20kevad\Seletuskiri\Tabelid%20ja%20joonised%20Kevad%202022_makro.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12.xml.rels><?xml version="1.0" encoding="UTF-8" standalone="yes"?>
<Relationships xmlns="http://schemas.openxmlformats.org/package/2006/relationships"><Relationship Id="rId3" Type="http://schemas.openxmlformats.org/officeDocument/2006/relationships/oleObject" Target="file:///\\riik.sise\yld\ram$\FPO\14.%20PROGNOOSID\2022%20kevad\Esitlused\Madise%20arvud%20jooniste%20taga_1.4.2022.xlsx" TargetMode="External"/><Relationship Id="rId2" Type="http://schemas.microsoft.com/office/2011/relationships/chartColorStyle" Target="colors4.xml"/><Relationship Id="rId1" Type="http://schemas.microsoft.com/office/2011/relationships/chartStyle" Target="style4.xml"/></Relationships>
</file>

<file path=word/charts/_rels/chart13.xml.rels><?xml version="1.0" encoding="UTF-8" standalone="yes"?>
<Relationships xmlns="http://schemas.openxmlformats.org/package/2006/relationships"><Relationship Id="rId3" Type="http://schemas.openxmlformats.org/officeDocument/2006/relationships/oleObject" Target="file:///\\riik.sise\yld\ram$\FPO\14.%20PROGNOOSID\2022%20kevad\Esitlused\Madise%20arvud%20jooniste%20taga_1.4.2022.xlsx" TargetMode="External"/><Relationship Id="rId2" Type="http://schemas.microsoft.com/office/2011/relationships/chartColorStyle" Target="colors5.xml"/><Relationship Id="rId1" Type="http://schemas.microsoft.com/office/2011/relationships/chartStyle" Target="style5.xml"/></Relationships>
</file>

<file path=word/charts/_rels/chart14.xml.rels><?xml version="1.0" encoding="UTF-8" standalone="yes"?>
<Relationships xmlns="http://schemas.openxmlformats.org/package/2006/relationships"><Relationship Id="rId1" Type="http://schemas.openxmlformats.org/officeDocument/2006/relationships/oleObject" Target="file:///\\riik.sise\yld\ram$\FPO\14.%20PROGNOOSID\2022%20kevad\Seletuskiri\Tabelid%20ja%20joonised%20Kevad%202022_makro.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riik.sise\yld\ram$\FPO\14.%20PROGNOOSID\2022%20kevad\Seletuskiri\Tabelid%20ja%20joonised%20Kevad%202022_rahandu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riik.sise\yld\ram$\FPO\14.%20PROGNOOSID\2022%20kevad\Seletuskiri\Tabelid%20ja%20joonised%20Kevad%202022_rahandu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riik.sise\yld\ram$\FPO\14.%20PROGNOOSID\2022%20kevad\Seletuskiri\Tabelid%20ja%20joonised%20Kevad%202022_rahandus.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riik.sise\yld\ram$\FPO\14.%20PROGNOOSID\2022%20kevad\Seletuskiri\Tabelid%20ja%20joonised%20Kevad%202022_rahandu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riik.sise\yld\ram$\FPO\14.%20PROGNOOSID\2022%20kevad\Seletuskiri\Tabelid%20ja%20joonised%20Kevad%202022_rahandu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riik.sise\yld\ram$\FPO\14.%20PROGNOOSID\2022%20kevad\Seletuskiri\Tabelid%20ja%20joonised%20Kevad%202022_rahandu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riik.sise\yld\ram$\FPO\14.%20PROGNOOSID\2022%20kevad\Seletuskiri\Tabelid%20ja%20joonised%20Kevad%202022_rahandus.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riik.sise\yld\ram$\FPO\14.%20PROGNOOSID\2022%20kevad\Seletuskiri\Tabelid%20ja%20joonised%20Kevad%202022_rahandus.xlsx" TargetMode="External"/><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1" Type="http://schemas.openxmlformats.org/officeDocument/2006/relationships/oleObject" Target="file:///\\riik.sise\yld\ram$\FPO\14.%20PROGNOOSID\2022%20kevad\Seletuskiri\Tabelid%20ja%20joonised%20Kevad%202022_rahandu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riik.sise\yld\ram$\FPO\14.%20PROGNOOSID\2022%20kevad\Seletuskiri\Tabelid%20ja%20joonised%20Kevad%202022_makr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923076923076927E-2"/>
          <c:y val="6.25E-2"/>
          <c:w val="0.90854820792629121"/>
          <c:h val="0.6511377149284947"/>
        </c:manualLayout>
      </c:layout>
      <c:barChart>
        <c:barDir val="col"/>
        <c:grouping val="stacked"/>
        <c:varyColors val="0"/>
        <c:ser>
          <c:idx val="0"/>
          <c:order val="0"/>
          <c:tx>
            <c:strRef>
              <c:f>Joonised!$L$4</c:f>
              <c:strCache>
                <c:ptCount val="1"/>
                <c:pt idx="0">
                  <c:v>Keskvalitsus</c:v>
                </c:pt>
              </c:strCache>
            </c:strRef>
          </c:tx>
          <c:spPr>
            <a:ln w="31750">
              <a:noFill/>
              <a:prstDash val="solid"/>
            </a:ln>
          </c:spPr>
          <c:invertIfNegative val="0"/>
          <c:dLbls>
            <c:dLbl>
              <c:idx val="5"/>
              <c:layout>
                <c:manualLayout>
                  <c:x val="6.3063063063063057E-2"/>
                  <c:y val="-0.20218454744504508"/>
                </c:manualLayout>
              </c:layout>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648-45F4-9DE1-DEBF8F881AA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Joonised!$K$5:$K$16</c:f>
              <c:strCache>
                <c:ptCount val="12"/>
                <c:pt idx="0">
                  <c:v> '15</c:v>
                </c:pt>
                <c:pt idx="1">
                  <c:v> '16</c:v>
                </c:pt>
                <c:pt idx="2">
                  <c:v> '17</c:v>
                </c:pt>
                <c:pt idx="3">
                  <c:v> '18</c:v>
                </c:pt>
                <c:pt idx="4">
                  <c:v> '19</c:v>
                </c:pt>
                <c:pt idx="5">
                  <c:v> '20</c:v>
                </c:pt>
                <c:pt idx="6">
                  <c:v> '21</c:v>
                </c:pt>
                <c:pt idx="7">
                  <c:v> '22</c:v>
                </c:pt>
                <c:pt idx="8">
                  <c:v> '23</c:v>
                </c:pt>
                <c:pt idx="9">
                  <c:v> '24</c:v>
                </c:pt>
                <c:pt idx="10">
                  <c:v> '25</c:v>
                </c:pt>
                <c:pt idx="11">
                  <c:v> '26</c:v>
                </c:pt>
              </c:strCache>
            </c:strRef>
          </c:cat>
          <c:val>
            <c:numRef>
              <c:f>Joonised!$L$5:$L$16</c:f>
              <c:numCache>
                <c:formatCode>0.0</c:formatCode>
                <c:ptCount val="12"/>
                <c:pt idx="0">
                  <c:v>-51.2</c:v>
                </c:pt>
                <c:pt idx="1">
                  <c:v>-125.4</c:v>
                </c:pt>
                <c:pt idx="2">
                  <c:v>-110.9</c:v>
                </c:pt>
                <c:pt idx="3" formatCode="General">
                  <c:v>-268.7</c:v>
                </c:pt>
                <c:pt idx="4" formatCode="General">
                  <c:v>-15.2</c:v>
                </c:pt>
                <c:pt idx="5" formatCode="General">
                  <c:v>-1193.3</c:v>
                </c:pt>
                <c:pt idx="6">
                  <c:v>-742.3</c:v>
                </c:pt>
                <c:pt idx="7">
                  <c:v>-1071.8937805919752</c:v>
                </c:pt>
                <c:pt idx="8" formatCode="#,##0">
                  <c:v>-1113.9775579820323</c:v>
                </c:pt>
                <c:pt idx="9" formatCode="#,##0">
                  <c:v>-1103.052731952974</c:v>
                </c:pt>
                <c:pt idx="10" formatCode="#,##0">
                  <c:v>-773.17020038900398</c:v>
                </c:pt>
                <c:pt idx="11">
                  <c:v>-682.81912132208549</c:v>
                </c:pt>
              </c:numCache>
            </c:numRef>
          </c:val>
          <c:extLst>
            <c:ext xmlns:c16="http://schemas.microsoft.com/office/drawing/2014/chart" uri="{C3380CC4-5D6E-409C-BE32-E72D297353CC}">
              <c16:uniqueId val="{00000001-E648-45F4-9DE1-DEBF8F881AA0}"/>
            </c:ext>
          </c:extLst>
        </c:ser>
        <c:ser>
          <c:idx val="1"/>
          <c:order val="1"/>
          <c:tx>
            <c:strRef>
              <c:f>Joonised!$M$4</c:f>
              <c:strCache>
                <c:ptCount val="1"/>
                <c:pt idx="0">
                  <c:v>Sotsiaalkindlustusfondid</c:v>
                </c:pt>
              </c:strCache>
            </c:strRef>
          </c:tx>
          <c:spPr>
            <a:ln w="31750">
              <a:noFill/>
              <a:prstDash val="solid"/>
            </a:ln>
          </c:spPr>
          <c:invertIfNegative val="0"/>
          <c:cat>
            <c:strRef>
              <c:f>Joonised!$K$5:$K$16</c:f>
              <c:strCache>
                <c:ptCount val="12"/>
                <c:pt idx="0">
                  <c:v> '15</c:v>
                </c:pt>
                <c:pt idx="1">
                  <c:v> '16</c:v>
                </c:pt>
                <c:pt idx="2">
                  <c:v> '17</c:v>
                </c:pt>
                <c:pt idx="3">
                  <c:v> '18</c:v>
                </c:pt>
                <c:pt idx="4">
                  <c:v> '19</c:v>
                </c:pt>
                <c:pt idx="5">
                  <c:v> '20</c:v>
                </c:pt>
                <c:pt idx="6">
                  <c:v> '21</c:v>
                </c:pt>
                <c:pt idx="7">
                  <c:v> '22</c:v>
                </c:pt>
                <c:pt idx="8">
                  <c:v> '23</c:v>
                </c:pt>
                <c:pt idx="9">
                  <c:v> '24</c:v>
                </c:pt>
                <c:pt idx="10">
                  <c:v> '25</c:v>
                </c:pt>
                <c:pt idx="11">
                  <c:v> '26</c:v>
                </c:pt>
              </c:strCache>
            </c:strRef>
          </c:cat>
          <c:val>
            <c:numRef>
              <c:f>Joonised!$M$5:$M$16</c:f>
              <c:numCache>
                <c:formatCode>0.0</c:formatCode>
                <c:ptCount val="12"/>
                <c:pt idx="0">
                  <c:v>23.4</c:v>
                </c:pt>
                <c:pt idx="1">
                  <c:v>9.1</c:v>
                </c:pt>
                <c:pt idx="2">
                  <c:v>56.4</c:v>
                </c:pt>
                <c:pt idx="3" formatCode="General">
                  <c:v>66.599999999999994</c:v>
                </c:pt>
                <c:pt idx="4" formatCode="General">
                  <c:v>74.2</c:v>
                </c:pt>
                <c:pt idx="5" formatCode="General">
                  <c:v>-317.89999999999998</c:v>
                </c:pt>
                <c:pt idx="6">
                  <c:v>135.69999999999999</c:v>
                </c:pt>
                <c:pt idx="7">
                  <c:v>-72.108684079289674</c:v>
                </c:pt>
                <c:pt idx="8" formatCode="#,##0">
                  <c:v>-32.419410652521975</c:v>
                </c:pt>
                <c:pt idx="9" formatCode="#,##0">
                  <c:v>-44.815190989469414</c:v>
                </c:pt>
                <c:pt idx="10" formatCode="#,##0">
                  <c:v>-140.59697664704549</c:v>
                </c:pt>
                <c:pt idx="11">
                  <c:v>-119.4864262777059</c:v>
                </c:pt>
              </c:numCache>
            </c:numRef>
          </c:val>
          <c:extLst>
            <c:ext xmlns:c16="http://schemas.microsoft.com/office/drawing/2014/chart" uri="{C3380CC4-5D6E-409C-BE32-E72D297353CC}">
              <c16:uniqueId val="{00000002-E648-45F4-9DE1-DEBF8F881AA0}"/>
            </c:ext>
          </c:extLst>
        </c:ser>
        <c:ser>
          <c:idx val="2"/>
          <c:order val="2"/>
          <c:tx>
            <c:strRef>
              <c:f>Joonised!$N$4</c:f>
              <c:strCache>
                <c:ptCount val="1"/>
                <c:pt idx="0">
                  <c:v>KOV</c:v>
                </c:pt>
              </c:strCache>
            </c:strRef>
          </c:tx>
          <c:invertIfNegative val="0"/>
          <c:cat>
            <c:strRef>
              <c:f>Joonised!$K$5:$K$16</c:f>
              <c:strCache>
                <c:ptCount val="12"/>
                <c:pt idx="0">
                  <c:v> '15</c:v>
                </c:pt>
                <c:pt idx="1">
                  <c:v> '16</c:v>
                </c:pt>
                <c:pt idx="2">
                  <c:v> '17</c:v>
                </c:pt>
                <c:pt idx="3">
                  <c:v> '18</c:v>
                </c:pt>
                <c:pt idx="4">
                  <c:v> '19</c:v>
                </c:pt>
                <c:pt idx="5">
                  <c:v> '20</c:v>
                </c:pt>
                <c:pt idx="6">
                  <c:v> '21</c:v>
                </c:pt>
                <c:pt idx="7">
                  <c:v> '22</c:v>
                </c:pt>
                <c:pt idx="8">
                  <c:v> '23</c:v>
                </c:pt>
                <c:pt idx="9">
                  <c:v> '24</c:v>
                </c:pt>
                <c:pt idx="10">
                  <c:v> '25</c:v>
                </c:pt>
                <c:pt idx="11">
                  <c:v> '26</c:v>
                </c:pt>
              </c:strCache>
            </c:strRef>
          </c:cat>
          <c:val>
            <c:numRef>
              <c:f>Joonised!$N$5:$N$16</c:f>
              <c:numCache>
                <c:formatCode>0.0</c:formatCode>
                <c:ptCount val="12"/>
                <c:pt idx="0">
                  <c:v>51.2</c:v>
                </c:pt>
                <c:pt idx="1">
                  <c:v>26.7</c:v>
                </c:pt>
                <c:pt idx="2">
                  <c:v>-58.8</c:v>
                </c:pt>
                <c:pt idx="3" formatCode="General">
                  <c:v>58.6</c:v>
                </c:pt>
                <c:pt idx="4" formatCode="General">
                  <c:v>-25.2</c:v>
                </c:pt>
                <c:pt idx="5" formatCode="General">
                  <c:v>9.4</c:v>
                </c:pt>
                <c:pt idx="6">
                  <c:v>-114.8</c:v>
                </c:pt>
                <c:pt idx="7">
                  <c:v>-104.43804174644005</c:v>
                </c:pt>
                <c:pt idx="8" formatCode="#,##0">
                  <c:v>-120.31367314622796</c:v>
                </c:pt>
                <c:pt idx="9" formatCode="#,##0">
                  <c:v>-105.99534035306847</c:v>
                </c:pt>
                <c:pt idx="10" formatCode="#,##0">
                  <c:v>-134.84804175868999</c:v>
                </c:pt>
                <c:pt idx="11">
                  <c:v>-45.441506638264777</c:v>
                </c:pt>
              </c:numCache>
            </c:numRef>
          </c:val>
          <c:extLst>
            <c:ext xmlns:c16="http://schemas.microsoft.com/office/drawing/2014/chart" uri="{C3380CC4-5D6E-409C-BE32-E72D297353CC}">
              <c16:uniqueId val="{00000003-E648-45F4-9DE1-DEBF8F881AA0}"/>
            </c:ext>
          </c:extLst>
        </c:ser>
        <c:dLbls>
          <c:showLegendKey val="0"/>
          <c:showVal val="0"/>
          <c:showCatName val="0"/>
          <c:showSerName val="0"/>
          <c:showPercent val="0"/>
          <c:showBubbleSize val="0"/>
        </c:dLbls>
        <c:gapWidth val="50"/>
        <c:overlap val="100"/>
        <c:axId val="430178040"/>
        <c:axId val="430178432"/>
      </c:barChart>
      <c:lineChart>
        <c:grouping val="standard"/>
        <c:varyColors val="0"/>
        <c:ser>
          <c:idx val="3"/>
          <c:order val="3"/>
          <c:tx>
            <c:strRef>
              <c:f>Joonised!$O$4</c:f>
              <c:strCache>
                <c:ptCount val="1"/>
                <c:pt idx="0">
                  <c:v>Nom. positsioon </c:v>
                </c:pt>
              </c:strCache>
            </c:strRef>
          </c:tx>
          <c:spPr>
            <a:ln>
              <a:solidFill>
                <a:schemeClr val="tx1"/>
              </a:solidFill>
            </a:ln>
          </c:spPr>
          <c:marker>
            <c:symbol val="none"/>
          </c:marker>
          <c:cat>
            <c:strRef>
              <c:f>Joonised!$K$5:$K$16</c:f>
              <c:strCache>
                <c:ptCount val="12"/>
                <c:pt idx="0">
                  <c:v> '15</c:v>
                </c:pt>
                <c:pt idx="1">
                  <c:v> '16</c:v>
                </c:pt>
                <c:pt idx="2">
                  <c:v> '17</c:v>
                </c:pt>
                <c:pt idx="3">
                  <c:v> '18</c:v>
                </c:pt>
                <c:pt idx="4">
                  <c:v> '19</c:v>
                </c:pt>
                <c:pt idx="5">
                  <c:v> '20</c:v>
                </c:pt>
                <c:pt idx="6">
                  <c:v> '21</c:v>
                </c:pt>
                <c:pt idx="7">
                  <c:v> '22</c:v>
                </c:pt>
                <c:pt idx="8">
                  <c:v> '23</c:v>
                </c:pt>
                <c:pt idx="9">
                  <c:v> '24</c:v>
                </c:pt>
                <c:pt idx="10">
                  <c:v> '25</c:v>
                </c:pt>
                <c:pt idx="11">
                  <c:v> '26</c:v>
                </c:pt>
              </c:strCache>
            </c:strRef>
          </c:cat>
          <c:val>
            <c:numRef>
              <c:f>Joonised!$O$5:$O$16</c:f>
              <c:numCache>
                <c:formatCode>0.0%</c:formatCode>
                <c:ptCount val="12"/>
                <c:pt idx="0">
                  <c:v>7.0611410127390548E-4</c:v>
                </c:pt>
                <c:pt idx="1">
                  <c:v>-2.9259298701940807E-3</c:v>
                </c:pt>
                <c:pt idx="2">
                  <c:v>-4.7537929645542435E-3</c:v>
                </c:pt>
                <c:pt idx="3">
                  <c:v>-5.5582238472979672E-3</c:v>
                </c:pt>
                <c:pt idx="4">
                  <c:v>1.2187910170053798E-3</c:v>
                </c:pt>
                <c:pt idx="5">
                  <c:v>-5.5965060034433148E-2</c:v>
                </c:pt>
                <c:pt idx="6">
                  <c:v>-2.352902804957599E-2</c:v>
                </c:pt>
                <c:pt idx="7">
                  <c:v>-3.8150416738320585E-2</c:v>
                </c:pt>
                <c:pt idx="8">
                  <c:v>-3.731401859587534E-2</c:v>
                </c:pt>
                <c:pt idx="9">
                  <c:v>-3.5185384305508098E-2</c:v>
                </c:pt>
                <c:pt idx="10">
                  <c:v>-2.8089655580760438E-2</c:v>
                </c:pt>
                <c:pt idx="11">
                  <c:v>-2.162501996589045E-2</c:v>
                </c:pt>
              </c:numCache>
            </c:numRef>
          </c:val>
          <c:smooth val="0"/>
          <c:extLst>
            <c:ext xmlns:c16="http://schemas.microsoft.com/office/drawing/2014/chart" uri="{C3380CC4-5D6E-409C-BE32-E72D297353CC}">
              <c16:uniqueId val="{00000004-E648-45F4-9DE1-DEBF8F881AA0}"/>
            </c:ext>
          </c:extLst>
        </c:ser>
        <c:dLbls>
          <c:showLegendKey val="0"/>
          <c:showVal val="0"/>
          <c:showCatName val="0"/>
          <c:showSerName val="0"/>
          <c:showPercent val="0"/>
          <c:showBubbleSize val="0"/>
        </c:dLbls>
        <c:marker val="1"/>
        <c:smooth val="0"/>
        <c:axId val="430136464"/>
        <c:axId val="430178824"/>
      </c:lineChart>
      <c:catAx>
        <c:axId val="430178040"/>
        <c:scaling>
          <c:orientation val="minMax"/>
        </c:scaling>
        <c:delete val="0"/>
        <c:axPos val="b"/>
        <c:numFmt formatCode="General" sourceLinked="1"/>
        <c:majorTickMark val="out"/>
        <c:minorTickMark val="none"/>
        <c:tickLblPos val="low"/>
        <c:spPr>
          <a:ln w="2570">
            <a:solidFill>
              <a:srgbClr val="000000"/>
            </a:solidFill>
            <a:prstDash val="solid"/>
          </a:ln>
        </c:spPr>
        <c:txPr>
          <a:bodyPr rot="0" vert="horz"/>
          <a:lstStyle/>
          <a:p>
            <a:pPr>
              <a:defRPr/>
            </a:pPr>
            <a:endParaRPr lang="et-EE"/>
          </a:p>
        </c:txPr>
        <c:crossAx val="430178432"/>
        <c:crosses val="autoZero"/>
        <c:auto val="1"/>
        <c:lblAlgn val="ctr"/>
        <c:lblOffset val="100"/>
        <c:noMultiLvlLbl val="0"/>
      </c:catAx>
      <c:valAx>
        <c:axId val="430178432"/>
        <c:scaling>
          <c:orientation val="minMax"/>
          <c:max val="200"/>
          <c:min val="-1400"/>
        </c:scaling>
        <c:delete val="0"/>
        <c:axPos val="l"/>
        <c:majorGridlines>
          <c:spPr>
            <a:ln w="2570">
              <a:solidFill>
                <a:schemeClr val="bg1">
                  <a:lumMod val="50000"/>
                  <a:alpha val="50000"/>
                </a:schemeClr>
              </a:solidFill>
              <a:prstDash val="dash"/>
            </a:ln>
          </c:spPr>
        </c:majorGridlines>
        <c:numFmt formatCode="0" sourceLinked="0"/>
        <c:majorTickMark val="in"/>
        <c:minorTickMark val="none"/>
        <c:tickLblPos val="nextTo"/>
        <c:spPr>
          <a:ln w="2570">
            <a:solidFill>
              <a:srgbClr val="000000"/>
            </a:solidFill>
            <a:prstDash val="sysDash"/>
          </a:ln>
        </c:spPr>
        <c:txPr>
          <a:bodyPr rot="0" vert="horz"/>
          <a:lstStyle/>
          <a:p>
            <a:pPr>
              <a:defRPr/>
            </a:pPr>
            <a:endParaRPr lang="et-EE"/>
          </a:p>
        </c:txPr>
        <c:crossAx val="430178040"/>
        <c:crosses val="autoZero"/>
        <c:crossBetween val="between"/>
        <c:majorUnit val="200"/>
        <c:minorUnit val="50"/>
      </c:valAx>
      <c:valAx>
        <c:axId val="430178824"/>
        <c:scaling>
          <c:orientation val="minMax"/>
          <c:max val="1.0000000000000002E-2"/>
          <c:min val="-7.0000000000000007E-2"/>
        </c:scaling>
        <c:delete val="0"/>
        <c:axPos val="r"/>
        <c:numFmt formatCode="0.0%" sourceLinked="1"/>
        <c:majorTickMark val="in"/>
        <c:minorTickMark val="none"/>
        <c:tickLblPos val="nextTo"/>
        <c:spPr>
          <a:ln/>
        </c:spPr>
        <c:crossAx val="430136464"/>
        <c:crosses val="max"/>
        <c:crossBetween val="between"/>
        <c:majorUnit val="1.0000000000000002E-2"/>
        <c:minorUnit val="5.0000000000000114E-3"/>
      </c:valAx>
      <c:catAx>
        <c:axId val="430136464"/>
        <c:scaling>
          <c:orientation val="minMax"/>
        </c:scaling>
        <c:delete val="1"/>
        <c:axPos val="b"/>
        <c:numFmt formatCode="General" sourceLinked="1"/>
        <c:majorTickMark val="out"/>
        <c:minorTickMark val="none"/>
        <c:tickLblPos val="none"/>
        <c:crossAx val="430178824"/>
        <c:crosses val="autoZero"/>
        <c:auto val="1"/>
        <c:lblAlgn val="ctr"/>
        <c:lblOffset val="100"/>
        <c:noMultiLvlLbl val="0"/>
      </c:catAx>
      <c:spPr>
        <a:ln>
          <a:noFill/>
        </a:ln>
      </c:spPr>
    </c:plotArea>
    <c:legend>
      <c:legendPos val="b"/>
      <c:layout>
        <c:manualLayout>
          <c:xMode val="edge"/>
          <c:yMode val="edge"/>
          <c:x val="0"/>
          <c:y val="0.83247897584230546"/>
          <c:w val="1"/>
          <c:h val="0.16697338120091321"/>
        </c:manualLayout>
      </c:layout>
      <c:overlay val="0"/>
    </c:legend>
    <c:plotVisOnly val="1"/>
    <c:dispBlanksAs val="gap"/>
    <c:showDLblsOverMax val="0"/>
  </c:chart>
  <c:spPr>
    <a:noFill/>
    <a:ln>
      <a:noFill/>
    </a:ln>
  </c:spPr>
  <c:txPr>
    <a:bodyPr/>
    <a:lstStyle/>
    <a:p>
      <a:pPr>
        <a:defRPr sz="833" b="0" i="0" u="none" strike="noStrike" baseline="0">
          <a:solidFill>
            <a:srgbClr val="000000"/>
          </a:solidFill>
          <a:latin typeface="Roboto Condensed" panose="02000000000000000000" pitchFamily="2" charset="0"/>
          <a:ea typeface="Roboto Condensed" panose="02000000000000000000" pitchFamily="2" charset="0"/>
          <a:cs typeface="Segoe UI Light" panose="020B0502040204020203" pitchFamily="34" charset="0"/>
        </a:defRPr>
      </a:pPr>
      <a:endParaRPr lang="et-E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936772997799948"/>
          <c:y val="8.5243700950020651E-2"/>
          <c:w val="0.75199598008492718"/>
          <c:h val="0.60008312680710452"/>
        </c:manualLayout>
      </c:layout>
      <c:areaChart>
        <c:grouping val="standard"/>
        <c:varyColors val="0"/>
        <c:ser>
          <c:idx val="1"/>
          <c:order val="1"/>
          <c:tx>
            <c:strRef>
              <c:f>Joonised!$BW$4</c:f>
              <c:strCache>
                <c:ptCount val="1"/>
                <c:pt idx="0">
                  <c:v>SKP kadu sõja tõttu</c:v>
                </c:pt>
              </c:strCache>
            </c:strRef>
          </c:tx>
          <c:spPr>
            <a:pattFill prst="dkDnDiag">
              <a:fgClr>
                <a:schemeClr val="accent2"/>
              </a:fgClr>
              <a:bgClr>
                <a:schemeClr val="bg1"/>
              </a:bgClr>
            </a:pattFill>
            <a:ln>
              <a:noFill/>
            </a:ln>
            <a:effectLst/>
          </c:spPr>
          <c:cat>
            <c:numRef>
              <c:f>Joonised!$BU$5:$BU$52</c:f>
              <c:numCache>
                <c:formatCode>General</c:formatCode>
                <c:ptCount val="48"/>
                <c:pt idx="0">
                  <c:v>2015</c:v>
                </c:pt>
                <c:pt idx="1">
                  <c:v>2015</c:v>
                </c:pt>
                <c:pt idx="2">
                  <c:v>2015</c:v>
                </c:pt>
                <c:pt idx="3">
                  <c:v>2015</c:v>
                </c:pt>
                <c:pt idx="4">
                  <c:v>2016</c:v>
                </c:pt>
                <c:pt idx="5">
                  <c:v>2016</c:v>
                </c:pt>
                <c:pt idx="6">
                  <c:v>2016</c:v>
                </c:pt>
                <c:pt idx="7">
                  <c:v>2016</c:v>
                </c:pt>
                <c:pt idx="8">
                  <c:v>2017</c:v>
                </c:pt>
                <c:pt idx="9">
                  <c:v>2017</c:v>
                </c:pt>
                <c:pt idx="10">
                  <c:v>2017</c:v>
                </c:pt>
                <c:pt idx="11">
                  <c:v>2017</c:v>
                </c:pt>
                <c:pt idx="12">
                  <c:v>2018</c:v>
                </c:pt>
                <c:pt idx="13">
                  <c:v>2018</c:v>
                </c:pt>
                <c:pt idx="14">
                  <c:v>2018</c:v>
                </c:pt>
                <c:pt idx="15">
                  <c:v>2018</c:v>
                </c:pt>
                <c:pt idx="16">
                  <c:v>2019</c:v>
                </c:pt>
                <c:pt idx="17">
                  <c:v>2019</c:v>
                </c:pt>
                <c:pt idx="18">
                  <c:v>2019</c:v>
                </c:pt>
                <c:pt idx="19">
                  <c:v>2019</c:v>
                </c:pt>
                <c:pt idx="20">
                  <c:v>2020</c:v>
                </c:pt>
                <c:pt idx="21">
                  <c:v>2020</c:v>
                </c:pt>
                <c:pt idx="22">
                  <c:v>2020</c:v>
                </c:pt>
                <c:pt idx="23">
                  <c:v>2020</c:v>
                </c:pt>
                <c:pt idx="24">
                  <c:v>2021</c:v>
                </c:pt>
                <c:pt idx="25">
                  <c:v>2021</c:v>
                </c:pt>
                <c:pt idx="26">
                  <c:v>2021</c:v>
                </c:pt>
                <c:pt idx="27">
                  <c:v>2021</c:v>
                </c:pt>
                <c:pt idx="28">
                  <c:v>2022</c:v>
                </c:pt>
                <c:pt idx="29">
                  <c:v>2022</c:v>
                </c:pt>
                <c:pt idx="30">
                  <c:v>2022</c:v>
                </c:pt>
                <c:pt idx="31">
                  <c:v>2022</c:v>
                </c:pt>
                <c:pt idx="32">
                  <c:v>2023</c:v>
                </c:pt>
                <c:pt idx="33">
                  <c:v>2023</c:v>
                </c:pt>
                <c:pt idx="34">
                  <c:v>2023</c:v>
                </c:pt>
                <c:pt idx="35">
                  <c:v>2023</c:v>
                </c:pt>
                <c:pt idx="36">
                  <c:v>2024</c:v>
                </c:pt>
                <c:pt idx="37">
                  <c:v>2024</c:v>
                </c:pt>
                <c:pt idx="38">
                  <c:v>2024</c:v>
                </c:pt>
                <c:pt idx="39">
                  <c:v>2024</c:v>
                </c:pt>
                <c:pt idx="40">
                  <c:v>2025</c:v>
                </c:pt>
                <c:pt idx="41">
                  <c:v>2025</c:v>
                </c:pt>
                <c:pt idx="42">
                  <c:v>2025</c:v>
                </c:pt>
                <c:pt idx="43">
                  <c:v>2025</c:v>
                </c:pt>
                <c:pt idx="44">
                  <c:v>2026</c:v>
                </c:pt>
                <c:pt idx="45">
                  <c:v>2026</c:v>
                </c:pt>
                <c:pt idx="46">
                  <c:v>2026</c:v>
                </c:pt>
                <c:pt idx="47">
                  <c:v>2026</c:v>
                </c:pt>
              </c:numCache>
            </c:numRef>
          </c:cat>
          <c:val>
            <c:numRef>
              <c:f>Joonised!$BW$5:$BW$52</c:f>
              <c:numCache>
                <c:formatCode>General</c:formatCode>
                <c:ptCount val="48"/>
                <c:pt idx="23">
                  <c:v>6051.8</c:v>
                </c:pt>
                <c:pt idx="24">
                  <c:v>6258.8</c:v>
                </c:pt>
                <c:pt idx="25">
                  <c:v>6402.7</c:v>
                </c:pt>
                <c:pt idx="26">
                  <c:v>6444.7</c:v>
                </c:pt>
                <c:pt idx="27">
                  <c:v>6560.7046</c:v>
                </c:pt>
                <c:pt idx="28">
                  <c:v>6560.7046</c:v>
                </c:pt>
                <c:pt idx="29">
                  <c:v>6586.9474184000001</c:v>
                </c:pt>
                <c:pt idx="30">
                  <c:v>6626.4691029103997</c:v>
                </c:pt>
                <c:pt idx="31">
                  <c:v>6666.2279175278618</c:v>
                </c:pt>
                <c:pt idx="32">
                  <c:v>6710.2250217835453</c:v>
                </c:pt>
                <c:pt idx="33">
                  <c:v>6754.5125069273163</c:v>
                </c:pt>
                <c:pt idx="34">
                  <c:v>6799.0922894730365</c:v>
                </c:pt>
                <c:pt idx="35">
                  <c:v>6843.9662985835585</c:v>
                </c:pt>
                <c:pt idx="36">
                  <c:v>6889.13647615421</c:v>
                </c:pt>
                <c:pt idx="37">
                  <c:v>6937.3604314872891</c:v>
                </c:pt>
                <c:pt idx="38">
                  <c:v>6985.9219545076994</c:v>
                </c:pt>
                <c:pt idx="39">
                  <c:v>7034.8234081892524</c:v>
                </c:pt>
                <c:pt idx="40">
                  <c:v>7084.0671720465762</c:v>
                </c:pt>
                <c:pt idx="41">
                  <c:v>7133.6556422509011</c:v>
                </c:pt>
                <c:pt idx="42" formatCode="0.0">
                  <c:v>7183.5912317466564</c:v>
                </c:pt>
                <c:pt idx="43">
                  <c:v>7233.8763703688819</c:v>
                </c:pt>
                <c:pt idx="44">
                  <c:v>7284.5135049614637</c:v>
                </c:pt>
                <c:pt idx="45">
                  <c:v>7335.505099496193</c:v>
                </c:pt>
                <c:pt idx="46">
                  <c:v>7386.8536351926659</c:v>
                </c:pt>
                <c:pt idx="47">
                  <c:v>7438.5616106390135</c:v>
                </c:pt>
              </c:numCache>
            </c:numRef>
          </c:val>
          <c:extLst>
            <c:ext xmlns:c16="http://schemas.microsoft.com/office/drawing/2014/chart" uri="{C3380CC4-5D6E-409C-BE32-E72D297353CC}">
              <c16:uniqueId val="{00000000-0338-41D6-8698-5AAF3D7D0F6E}"/>
            </c:ext>
          </c:extLst>
        </c:ser>
        <c:ser>
          <c:idx val="2"/>
          <c:order val="2"/>
          <c:tx>
            <c:strRef>
              <c:f>Joonised!$BX$4</c:f>
              <c:strCache>
                <c:ptCount val="1"/>
              </c:strCache>
            </c:strRef>
          </c:tx>
          <c:spPr>
            <a:solidFill>
              <a:schemeClr val="bg1"/>
            </a:solidFill>
            <a:ln>
              <a:noFill/>
            </a:ln>
            <a:effectLst/>
          </c:spPr>
          <c:cat>
            <c:numRef>
              <c:f>Joonised!$BU$5:$BU$52</c:f>
              <c:numCache>
                <c:formatCode>General</c:formatCode>
                <c:ptCount val="48"/>
                <c:pt idx="0">
                  <c:v>2015</c:v>
                </c:pt>
                <c:pt idx="1">
                  <c:v>2015</c:v>
                </c:pt>
                <c:pt idx="2">
                  <c:v>2015</c:v>
                </c:pt>
                <c:pt idx="3">
                  <c:v>2015</c:v>
                </c:pt>
                <c:pt idx="4">
                  <c:v>2016</c:v>
                </c:pt>
                <c:pt idx="5">
                  <c:v>2016</c:v>
                </c:pt>
                <c:pt idx="6">
                  <c:v>2016</c:v>
                </c:pt>
                <c:pt idx="7">
                  <c:v>2016</c:v>
                </c:pt>
                <c:pt idx="8">
                  <c:v>2017</c:v>
                </c:pt>
                <c:pt idx="9">
                  <c:v>2017</c:v>
                </c:pt>
                <c:pt idx="10">
                  <c:v>2017</c:v>
                </c:pt>
                <c:pt idx="11">
                  <c:v>2017</c:v>
                </c:pt>
                <c:pt idx="12">
                  <c:v>2018</c:v>
                </c:pt>
                <c:pt idx="13">
                  <c:v>2018</c:v>
                </c:pt>
                <c:pt idx="14">
                  <c:v>2018</c:v>
                </c:pt>
                <c:pt idx="15">
                  <c:v>2018</c:v>
                </c:pt>
                <c:pt idx="16">
                  <c:v>2019</c:v>
                </c:pt>
                <c:pt idx="17">
                  <c:v>2019</c:v>
                </c:pt>
                <c:pt idx="18">
                  <c:v>2019</c:v>
                </c:pt>
                <c:pt idx="19">
                  <c:v>2019</c:v>
                </c:pt>
                <c:pt idx="20">
                  <c:v>2020</c:v>
                </c:pt>
                <c:pt idx="21">
                  <c:v>2020</c:v>
                </c:pt>
                <c:pt idx="22">
                  <c:v>2020</c:v>
                </c:pt>
                <c:pt idx="23">
                  <c:v>2020</c:v>
                </c:pt>
                <c:pt idx="24">
                  <c:v>2021</c:v>
                </c:pt>
                <c:pt idx="25">
                  <c:v>2021</c:v>
                </c:pt>
                <c:pt idx="26">
                  <c:v>2021</c:v>
                </c:pt>
                <c:pt idx="27">
                  <c:v>2021</c:v>
                </c:pt>
                <c:pt idx="28">
                  <c:v>2022</c:v>
                </c:pt>
                <c:pt idx="29">
                  <c:v>2022</c:v>
                </c:pt>
                <c:pt idx="30">
                  <c:v>2022</c:v>
                </c:pt>
                <c:pt idx="31">
                  <c:v>2022</c:v>
                </c:pt>
                <c:pt idx="32">
                  <c:v>2023</c:v>
                </c:pt>
                <c:pt idx="33">
                  <c:v>2023</c:v>
                </c:pt>
                <c:pt idx="34">
                  <c:v>2023</c:v>
                </c:pt>
                <c:pt idx="35">
                  <c:v>2023</c:v>
                </c:pt>
                <c:pt idx="36">
                  <c:v>2024</c:v>
                </c:pt>
                <c:pt idx="37">
                  <c:v>2024</c:v>
                </c:pt>
                <c:pt idx="38">
                  <c:v>2024</c:v>
                </c:pt>
                <c:pt idx="39">
                  <c:v>2024</c:v>
                </c:pt>
                <c:pt idx="40">
                  <c:v>2025</c:v>
                </c:pt>
                <c:pt idx="41">
                  <c:v>2025</c:v>
                </c:pt>
                <c:pt idx="42">
                  <c:v>2025</c:v>
                </c:pt>
                <c:pt idx="43">
                  <c:v>2025</c:v>
                </c:pt>
                <c:pt idx="44">
                  <c:v>2026</c:v>
                </c:pt>
                <c:pt idx="45">
                  <c:v>2026</c:v>
                </c:pt>
                <c:pt idx="46">
                  <c:v>2026</c:v>
                </c:pt>
                <c:pt idx="47">
                  <c:v>2026</c:v>
                </c:pt>
              </c:numCache>
            </c:numRef>
          </c:cat>
          <c:val>
            <c:numRef>
              <c:f>Joonised!$BX$5:$BX$52</c:f>
              <c:numCache>
                <c:formatCode>General</c:formatCode>
                <c:ptCount val="48"/>
                <c:pt idx="23">
                  <c:v>6037.6</c:v>
                </c:pt>
                <c:pt idx="24">
                  <c:v>6238.7</c:v>
                </c:pt>
                <c:pt idx="25">
                  <c:v>6389.6</c:v>
                </c:pt>
                <c:pt idx="26">
                  <c:v>6455.1</c:v>
                </c:pt>
                <c:pt idx="27">
                  <c:v>6569.2</c:v>
                </c:pt>
                <c:pt idx="28">
                  <c:v>6503.5079999999998</c:v>
                </c:pt>
                <c:pt idx="29">
                  <c:v>6373.4378399999996</c:v>
                </c:pt>
                <c:pt idx="30">
                  <c:v>6245.9690831999997</c:v>
                </c:pt>
                <c:pt idx="31">
                  <c:v>6264.7069904495993</c:v>
                </c:pt>
                <c:pt idx="32">
                  <c:v>6333.6187673445438</c:v>
                </c:pt>
                <c:pt idx="33">
                  <c:v>6390.6213362506442</c:v>
                </c:pt>
                <c:pt idx="34">
                  <c:v>6448.1369282768992</c:v>
                </c:pt>
                <c:pt idx="35">
                  <c:v>6506.1701606313909</c:v>
                </c:pt>
                <c:pt idx="36">
                  <c:v>6556.2676708682529</c:v>
                </c:pt>
                <c:pt idx="37">
                  <c:v>6602.1615445643301</c:v>
                </c:pt>
                <c:pt idx="38">
                  <c:v>6648.3766753762793</c:v>
                </c:pt>
                <c:pt idx="39">
                  <c:v>6694.9153121039126</c:v>
                </c:pt>
                <c:pt idx="40">
                  <c:v>6741.7797192886392</c:v>
                </c:pt>
                <c:pt idx="41">
                  <c:v>6782.2303976043713</c:v>
                </c:pt>
                <c:pt idx="42">
                  <c:v>6822.9237799899975</c:v>
                </c:pt>
                <c:pt idx="43">
                  <c:v>6863.8613226699372</c:v>
                </c:pt>
                <c:pt idx="44">
                  <c:v>6909.162807399558</c:v>
                </c:pt>
                <c:pt idx="45">
                  <c:v>6954.7632819283945</c:v>
                </c:pt>
                <c:pt idx="46">
                  <c:v>7000.6647195891219</c:v>
                </c:pt>
                <c:pt idx="47">
                  <c:v>7046.8691067384098</c:v>
                </c:pt>
              </c:numCache>
            </c:numRef>
          </c:val>
          <c:extLst>
            <c:ext xmlns:c16="http://schemas.microsoft.com/office/drawing/2014/chart" uri="{C3380CC4-5D6E-409C-BE32-E72D297353CC}">
              <c16:uniqueId val="{00000001-0338-41D6-8698-5AAF3D7D0F6E}"/>
            </c:ext>
          </c:extLst>
        </c:ser>
        <c:dLbls>
          <c:showLegendKey val="0"/>
          <c:showVal val="0"/>
          <c:showCatName val="0"/>
          <c:showSerName val="0"/>
          <c:showPercent val="0"/>
          <c:showBubbleSize val="0"/>
        </c:dLbls>
        <c:axId val="517713280"/>
        <c:axId val="517711200"/>
      </c:areaChart>
      <c:lineChart>
        <c:grouping val="standard"/>
        <c:varyColors val="0"/>
        <c:ser>
          <c:idx val="0"/>
          <c:order val="0"/>
          <c:tx>
            <c:strRef>
              <c:f>Joonised!$BV$4</c:f>
              <c:strCache>
                <c:ptCount val="1"/>
                <c:pt idx="0">
                  <c:v>Reaalne SKP</c:v>
                </c:pt>
              </c:strCache>
            </c:strRef>
          </c:tx>
          <c:spPr>
            <a:ln w="28575" cap="rnd">
              <a:solidFill>
                <a:schemeClr val="accent1"/>
              </a:solidFill>
              <a:round/>
            </a:ln>
            <a:effectLst/>
          </c:spPr>
          <c:marker>
            <c:symbol val="none"/>
          </c:marker>
          <c:cat>
            <c:numRef>
              <c:f>Joonised!$BU$5:$BU$52</c:f>
              <c:numCache>
                <c:formatCode>General</c:formatCode>
                <c:ptCount val="48"/>
                <c:pt idx="0">
                  <c:v>2015</c:v>
                </c:pt>
                <c:pt idx="1">
                  <c:v>2015</c:v>
                </c:pt>
                <c:pt idx="2">
                  <c:v>2015</c:v>
                </c:pt>
                <c:pt idx="3">
                  <c:v>2015</c:v>
                </c:pt>
                <c:pt idx="4">
                  <c:v>2016</c:v>
                </c:pt>
                <c:pt idx="5">
                  <c:v>2016</c:v>
                </c:pt>
                <c:pt idx="6">
                  <c:v>2016</c:v>
                </c:pt>
                <c:pt idx="7">
                  <c:v>2016</c:v>
                </c:pt>
                <c:pt idx="8">
                  <c:v>2017</c:v>
                </c:pt>
                <c:pt idx="9">
                  <c:v>2017</c:v>
                </c:pt>
                <c:pt idx="10">
                  <c:v>2017</c:v>
                </c:pt>
                <c:pt idx="11">
                  <c:v>2017</c:v>
                </c:pt>
                <c:pt idx="12">
                  <c:v>2018</c:v>
                </c:pt>
                <c:pt idx="13">
                  <c:v>2018</c:v>
                </c:pt>
                <c:pt idx="14">
                  <c:v>2018</c:v>
                </c:pt>
                <c:pt idx="15">
                  <c:v>2018</c:v>
                </c:pt>
                <c:pt idx="16">
                  <c:v>2019</c:v>
                </c:pt>
                <c:pt idx="17">
                  <c:v>2019</c:v>
                </c:pt>
                <c:pt idx="18">
                  <c:v>2019</c:v>
                </c:pt>
                <c:pt idx="19">
                  <c:v>2019</c:v>
                </c:pt>
                <c:pt idx="20">
                  <c:v>2020</c:v>
                </c:pt>
                <c:pt idx="21">
                  <c:v>2020</c:v>
                </c:pt>
                <c:pt idx="22">
                  <c:v>2020</c:v>
                </c:pt>
                <c:pt idx="23">
                  <c:v>2020</c:v>
                </c:pt>
                <c:pt idx="24">
                  <c:v>2021</c:v>
                </c:pt>
                <c:pt idx="25">
                  <c:v>2021</c:v>
                </c:pt>
                <c:pt idx="26">
                  <c:v>2021</c:v>
                </c:pt>
                <c:pt idx="27">
                  <c:v>2021</c:v>
                </c:pt>
                <c:pt idx="28">
                  <c:v>2022</c:v>
                </c:pt>
                <c:pt idx="29">
                  <c:v>2022</c:v>
                </c:pt>
                <c:pt idx="30">
                  <c:v>2022</c:v>
                </c:pt>
                <c:pt idx="31">
                  <c:v>2022</c:v>
                </c:pt>
                <c:pt idx="32">
                  <c:v>2023</c:v>
                </c:pt>
                <c:pt idx="33">
                  <c:v>2023</c:v>
                </c:pt>
                <c:pt idx="34">
                  <c:v>2023</c:v>
                </c:pt>
                <c:pt idx="35">
                  <c:v>2023</c:v>
                </c:pt>
                <c:pt idx="36">
                  <c:v>2024</c:v>
                </c:pt>
                <c:pt idx="37">
                  <c:v>2024</c:v>
                </c:pt>
                <c:pt idx="38">
                  <c:v>2024</c:v>
                </c:pt>
                <c:pt idx="39">
                  <c:v>2024</c:v>
                </c:pt>
                <c:pt idx="40">
                  <c:v>2025</c:v>
                </c:pt>
                <c:pt idx="41">
                  <c:v>2025</c:v>
                </c:pt>
                <c:pt idx="42">
                  <c:v>2025</c:v>
                </c:pt>
                <c:pt idx="43">
                  <c:v>2025</c:v>
                </c:pt>
                <c:pt idx="44">
                  <c:v>2026</c:v>
                </c:pt>
                <c:pt idx="45">
                  <c:v>2026</c:v>
                </c:pt>
                <c:pt idx="46">
                  <c:v>2026</c:v>
                </c:pt>
                <c:pt idx="47">
                  <c:v>2026</c:v>
                </c:pt>
              </c:numCache>
            </c:numRef>
          </c:cat>
          <c:val>
            <c:numRef>
              <c:f>Joonised!$BV$5:$BV$52</c:f>
              <c:numCache>
                <c:formatCode>General</c:formatCode>
                <c:ptCount val="48"/>
                <c:pt idx="0">
                  <c:v>5074.7</c:v>
                </c:pt>
                <c:pt idx="1">
                  <c:v>5174.8</c:v>
                </c:pt>
                <c:pt idx="2">
                  <c:v>5213.3</c:v>
                </c:pt>
                <c:pt idx="3">
                  <c:v>5203.7</c:v>
                </c:pt>
                <c:pt idx="4">
                  <c:v>5288.2</c:v>
                </c:pt>
                <c:pt idx="5">
                  <c:v>5278.3</c:v>
                </c:pt>
                <c:pt idx="6">
                  <c:v>5337.2</c:v>
                </c:pt>
                <c:pt idx="7">
                  <c:v>5401.1</c:v>
                </c:pt>
                <c:pt idx="8">
                  <c:v>5507.6</c:v>
                </c:pt>
                <c:pt idx="9">
                  <c:v>5612.2</c:v>
                </c:pt>
                <c:pt idx="10">
                  <c:v>5632.4</c:v>
                </c:pt>
                <c:pt idx="11">
                  <c:v>5713.8</c:v>
                </c:pt>
                <c:pt idx="12">
                  <c:v>5774.4</c:v>
                </c:pt>
                <c:pt idx="13">
                  <c:v>5819.2</c:v>
                </c:pt>
                <c:pt idx="14">
                  <c:v>5859.1</c:v>
                </c:pt>
                <c:pt idx="15">
                  <c:v>5939.7</c:v>
                </c:pt>
                <c:pt idx="16">
                  <c:v>6037</c:v>
                </c:pt>
                <c:pt idx="17">
                  <c:v>6062.7</c:v>
                </c:pt>
                <c:pt idx="18">
                  <c:v>6104.9</c:v>
                </c:pt>
                <c:pt idx="19">
                  <c:v>6127.2</c:v>
                </c:pt>
                <c:pt idx="20">
                  <c:v>6053.2</c:v>
                </c:pt>
                <c:pt idx="21">
                  <c:v>5701.5</c:v>
                </c:pt>
                <c:pt idx="22">
                  <c:v>5907.8</c:v>
                </c:pt>
                <c:pt idx="23">
                  <c:v>6037.6</c:v>
                </c:pt>
                <c:pt idx="24">
                  <c:v>6238.7</c:v>
                </c:pt>
                <c:pt idx="25">
                  <c:v>6389.6</c:v>
                </c:pt>
                <c:pt idx="26">
                  <c:v>6455.1</c:v>
                </c:pt>
                <c:pt idx="27">
                  <c:v>6569.2</c:v>
                </c:pt>
                <c:pt idx="28">
                  <c:v>6503.5079999999998</c:v>
                </c:pt>
                <c:pt idx="29">
                  <c:v>6373.4378399999996</c:v>
                </c:pt>
                <c:pt idx="30">
                  <c:v>6245.9690831999997</c:v>
                </c:pt>
                <c:pt idx="31">
                  <c:v>6264.7069904495993</c:v>
                </c:pt>
                <c:pt idx="32">
                  <c:v>6333.6187673445438</c:v>
                </c:pt>
                <c:pt idx="33">
                  <c:v>6390.6213362506442</c:v>
                </c:pt>
                <c:pt idx="34">
                  <c:v>6448.1369282768992</c:v>
                </c:pt>
                <c:pt idx="35">
                  <c:v>6506.1701606313909</c:v>
                </c:pt>
                <c:pt idx="36">
                  <c:v>6556.2676708682529</c:v>
                </c:pt>
                <c:pt idx="37">
                  <c:v>6602.1615445643301</c:v>
                </c:pt>
                <c:pt idx="38">
                  <c:v>6648.3766753762793</c:v>
                </c:pt>
                <c:pt idx="39">
                  <c:v>6694.9153121039126</c:v>
                </c:pt>
                <c:pt idx="40">
                  <c:v>6741.7797192886392</c:v>
                </c:pt>
                <c:pt idx="41">
                  <c:v>6782.2303976043713</c:v>
                </c:pt>
                <c:pt idx="42" formatCode="0.0">
                  <c:v>6822.9237799899975</c:v>
                </c:pt>
                <c:pt idx="43">
                  <c:v>6863.8613226699372</c:v>
                </c:pt>
                <c:pt idx="44">
                  <c:v>6909.162807399558</c:v>
                </c:pt>
                <c:pt idx="45">
                  <c:v>6954.7632819283945</c:v>
                </c:pt>
                <c:pt idx="46">
                  <c:v>7000.6647195891219</c:v>
                </c:pt>
                <c:pt idx="47">
                  <c:v>7046.8691067384098</c:v>
                </c:pt>
              </c:numCache>
            </c:numRef>
          </c:val>
          <c:smooth val="0"/>
          <c:extLst>
            <c:ext xmlns:c16="http://schemas.microsoft.com/office/drawing/2014/chart" uri="{C3380CC4-5D6E-409C-BE32-E72D297353CC}">
              <c16:uniqueId val="{00000002-0338-41D6-8698-5AAF3D7D0F6E}"/>
            </c:ext>
          </c:extLst>
        </c:ser>
        <c:dLbls>
          <c:showLegendKey val="0"/>
          <c:showVal val="0"/>
          <c:showCatName val="0"/>
          <c:showSerName val="0"/>
          <c:showPercent val="0"/>
          <c:showBubbleSize val="0"/>
        </c:dLbls>
        <c:marker val="1"/>
        <c:smooth val="0"/>
        <c:axId val="517713280"/>
        <c:axId val="517711200"/>
      </c:lineChart>
      <c:catAx>
        <c:axId val="5177132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Roboto Condensed" panose="02000000000000000000" pitchFamily="2" charset="0"/>
                <a:ea typeface="Roboto Condensed" panose="02000000000000000000" pitchFamily="2" charset="0"/>
                <a:cs typeface="Segoe UI Light" panose="020B0502040204020203" pitchFamily="34" charset="0"/>
              </a:defRPr>
            </a:pPr>
            <a:endParaRPr lang="et-EE"/>
          </a:p>
        </c:txPr>
        <c:crossAx val="517711200"/>
        <c:crosses val="autoZero"/>
        <c:auto val="1"/>
        <c:lblAlgn val="ctr"/>
        <c:lblOffset val="100"/>
        <c:tickLblSkip val="4"/>
        <c:noMultiLvlLbl val="0"/>
      </c:catAx>
      <c:valAx>
        <c:axId val="517711200"/>
        <c:scaling>
          <c:orientation val="minMax"/>
          <c:max val="7500"/>
          <c:min val="50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Roboto Condensed" panose="02000000000000000000" pitchFamily="2" charset="0"/>
                    <a:ea typeface="Roboto Condensed" panose="02000000000000000000" pitchFamily="2" charset="0"/>
                    <a:cs typeface="Segoe UI Light" panose="020B0502040204020203" pitchFamily="34" charset="0"/>
                  </a:defRPr>
                </a:pPr>
                <a:r>
                  <a:rPr lang="et-EE"/>
                  <a:t>Mln EUR, 2015.a püsivhindades</a:t>
                </a:r>
              </a:p>
            </c:rich>
          </c:tx>
          <c:layout>
            <c:manualLayout>
              <c:xMode val="edge"/>
              <c:yMode val="edge"/>
              <c:x val="4.4214173694995225E-3"/>
              <c:y val="1.072056163828278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Roboto Condensed" panose="02000000000000000000" pitchFamily="2" charset="0"/>
                  <a:ea typeface="Roboto Condensed" panose="02000000000000000000" pitchFamily="2" charset="0"/>
                  <a:cs typeface="Segoe UI Light" panose="020B0502040204020203" pitchFamily="34" charset="0"/>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Roboto Condensed" panose="02000000000000000000" pitchFamily="2" charset="0"/>
                <a:ea typeface="Roboto Condensed" panose="02000000000000000000" pitchFamily="2" charset="0"/>
                <a:cs typeface="Segoe UI Light" panose="020B0502040204020203" pitchFamily="34" charset="0"/>
              </a:defRPr>
            </a:pPr>
            <a:endParaRPr lang="et-EE"/>
          </a:p>
        </c:txPr>
        <c:crossAx val="517713280"/>
        <c:crosses val="autoZero"/>
        <c:crossBetween val="between"/>
      </c:valAx>
      <c:spPr>
        <a:noFill/>
        <a:ln>
          <a:noFill/>
        </a:ln>
        <a:effectLst/>
      </c:spPr>
    </c:plotArea>
    <c:legend>
      <c:legendPos val="b"/>
      <c:layout>
        <c:manualLayout>
          <c:xMode val="edge"/>
          <c:yMode val="edge"/>
          <c:x val="5.3057508560049156E-2"/>
          <c:y val="0.85396407617857151"/>
          <c:w val="0.89837433047098969"/>
          <c:h val="0.1182581215917043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Roboto Condensed" panose="02000000000000000000" pitchFamily="2" charset="0"/>
              <a:ea typeface="Roboto Condensed" panose="02000000000000000000" pitchFamily="2" charset="0"/>
              <a:cs typeface="Segoe UI Light" panose="020B0502040204020203" pitchFamily="34" charset="0"/>
            </a:defRPr>
          </a:pPr>
          <a:endParaRPr lang="et-EE"/>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Roboto Condensed" panose="02000000000000000000" pitchFamily="2" charset="0"/>
          <a:ea typeface="Roboto Condensed" panose="02000000000000000000" pitchFamily="2" charset="0"/>
          <a:cs typeface="Segoe UI Light" panose="020B0502040204020203" pitchFamily="34" charset="0"/>
        </a:defRPr>
      </a:pPr>
      <a:endParaRPr lang="et-EE"/>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635778657317146E-2"/>
          <c:y val="4.9382716049382713E-2"/>
          <c:w val="0.91103667567590185"/>
          <c:h val="0.80301492616453252"/>
        </c:manualLayout>
      </c:layout>
      <c:lineChart>
        <c:grouping val="standard"/>
        <c:varyColors val="0"/>
        <c:ser>
          <c:idx val="0"/>
          <c:order val="0"/>
          <c:tx>
            <c:strRef>
              <c:f>GAAS!$F$2</c:f>
              <c:strCache>
                <c:ptCount val="1"/>
                <c:pt idx="0">
                  <c:v>Gaas EUR/MWh</c:v>
                </c:pt>
              </c:strCache>
            </c:strRef>
          </c:tx>
          <c:spPr>
            <a:ln w="28575" cap="rnd">
              <a:solidFill>
                <a:schemeClr val="accent1"/>
              </a:solidFill>
              <a:round/>
            </a:ln>
            <a:effectLst/>
          </c:spPr>
          <c:marker>
            <c:symbol val="none"/>
          </c:marker>
          <c:cat>
            <c:numRef>
              <c:f>GAAS!$B$3:$B$351</c:f>
              <c:numCache>
                <c:formatCode>yyyy\-mm\-dd</c:formatCode>
                <c:ptCount val="349"/>
                <c:pt idx="0">
                  <c:v>36161</c:v>
                </c:pt>
                <c:pt idx="1">
                  <c:v>36192</c:v>
                </c:pt>
                <c:pt idx="2">
                  <c:v>36220</c:v>
                </c:pt>
                <c:pt idx="3">
                  <c:v>36251</c:v>
                </c:pt>
                <c:pt idx="4">
                  <c:v>36281</c:v>
                </c:pt>
                <c:pt idx="5">
                  <c:v>36312</c:v>
                </c:pt>
                <c:pt idx="6">
                  <c:v>36342</c:v>
                </c:pt>
                <c:pt idx="7">
                  <c:v>36373</c:v>
                </c:pt>
                <c:pt idx="8">
                  <c:v>36404</c:v>
                </c:pt>
                <c:pt idx="9">
                  <c:v>36434</c:v>
                </c:pt>
                <c:pt idx="10">
                  <c:v>36465</c:v>
                </c:pt>
                <c:pt idx="11">
                  <c:v>36495</c:v>
                </c:pt>
                <c:pt idx="12">
                  <c:v>36526</c:v>
                </c:pt>
                <c:pt idx="13">
                  <c:v>36557</c:v>
                </c:pt>
                <c:pt idx="14">
                  <c:v>36586</c:v>
                </c:pt>
                <c:pt idx="15">
                  <c:v>36617</c:v>
                </c:pt>
                <c:pt idx="16">
                  <c:v>36647</c:v>
                </c:pt>
                <c:pt idx="17">
                  <c:v>36678</c:v>
                </c:pt>
                <c:pt idx="18">
                  <c:v>36708</c:v>
                </c:pt>
                <c:pt idx="19">
                  <c:v>36739</c:v>
                </c:pt>
                <c:pt idx="20">
                  <c:v>36770</c:v>
                </c:pt>
                <c:pt idx="21">
                  <c:v>36800</c:v>
                </c:pt>
                <c:pt idx="22">
                  <c:v>36831</c:v>
                </c:pt>
                <c:pt idx="23">
                  <c:v>36861</c:v>
                </c:pt>
                <c:pt idx="24">
                  <c:v>36892</c:v>
                </c:pt>
                <c:pt idx="25">
                  <c:v>36923</c:v>
                </c:pt>
                <c:pt idx="26">
                  <c:v>36951</c:v>
                </c:pt>
                <c:pt idx="27">
                  <c:v>36982</c:v>
                </c:pt>
                <c:pt idx="28">
                  <c:v>37012</c:v>
                </c:pt>
                <c:pt idx="29">
                  <c:v>37043</c:v>
                </c:pt>
                <c:pt idx="30">
                  <c:v>37073</c:v>
                </c:pt>
                <c:pt idx="31">
                  <c:v>37104</c:v>
                </c:pt>
                <c:pt idx="32">
                  <c:v>37135</c:v>
                </c:pt>
                <c:pt idx="33">
                  <c:v>37165</c:v>
                </c:pt>
                <c:pt idx="34">
                  <c:v>37196</c:v>
                </c:pt>
                <c:pt idx="35">
                  <c:v>37226</c:v>
                </c:pt>
                <c:pt idx="36">
                  <c:v>37257</c:v>
                </c:pt>
                <c:pt idx="37">
                  <c:v>37288</c:v>
                </c:pt>
                <c:pt idx="38">
                  <c:v>37316</c:v>
                </c:pt>
                <c:pt idx="39">
                  <c:v>37347</c:v>
                </c:pt>
                <c:pt idx="40">
                  <c:v>37377</c:v>
                </c:pt>
                <c:pt idx="41">
                  <c:v>37408</c:v>
                </c:pt>
                <c:pt idx="42">
                  <c:v>37438</c:v>
                </c:pt>
                <c:pt idx="43">
                  <c:v>37469</c:v>
                </c:pt>
                <c:pt idx="44">
                  <c:v>37500</c:v>
                </c:pt>
                <c:pt idx="45">
                  <c:v>37530</c:v>
                </c:pt>
                <c:pt idx="46">
                  <c:v>37561</c:v>
                </c:pt>
                <c:pt idx="47">
                  <c:v>37591</c:v>
                </c:pt>
                <c:pt idx="48">
                  <c:v>37622</c:v>
                </c:pt>
                <c:pt idx="49">
                  <c:v>37653</c:v>
                </c:pt>
                <c:pt idx="50">
                  <c:v>37681</c:v>
                </c:pt>
                <c:pt idx="51">
                  <c:v>37712</c:v>
                </c:pt>
                <c:pt idx="52">
                  <c:v>37742</c:v>
                </c:pt>
                <c:pt idx="53">
                  <c:v>37773</c:v>
                </c:pt>
                <c:pt idx="54">
                  <c:v>37803</c:v>
                </c:pt>
                <c:pt idx="55">
                  <c:v>37834</c:v>
                </c:pt>
                <c:pt idx="56">
                  <c:v>37865</c:v>
                </c:pt>
                <c:pt idx="57">
                  <c:v>37895</c:v>
                </c:pt>
                <c:pt idx="58">
                  <c:v>37926</c:v>
                </c:pt>
                <c:pt idx="59">
                  <c:v>37956</c:v>
                </c:pt>
                <c:pt idx="60">
                  <c:v>37987</c:v>
                </c:pt>
                <c:pt idx="61">
                  <c:v>38018</c:v>
                </c:pt>
                <c:pt idx="62">
                  <c:v>38047</c:v>
                </c:pt>
                <c:pt idx="63">
                  <c:v>38078</c:v>
                </c:pt>
                <c:pt idx="64">
                  <c:v>38108</c:v>
                </c:pt>
                <c:pt idx="65">
                  <c:v>38139</c:v>
                </c:pt>
                <c:pt idx="66">
                  <c:v>38169</c:v>
                </c:pt>
                <c:pt idx="67">
                  <c:v>38200</c:v>
                </c:pt>
                <c:pt idx="68">
                  <c:v>38231</c:v>
                </c:pt>
                <c:pt idx="69">
                  <c:v>38261</c:v>
                </c:pt>
                <c:pt idx="70">
                  <c:v>38292</c:v>
                </c:pt>
                <c:pt idx="71">
                  <c:v>38322</c:v>
                </c:pt>
                <c:pt idx="72">
                  <c:v>38353</c:v>
                </c:pt>
                <c:pt idx="73">
                  <c:v>38384</c:v>
                </c:pt>
                <c:pt idx="74">
                  <c:v>38412</c:v>
                </c:pt>
                <c:pt idx="75">
                  <c:v>38443</c:v>
                </c:pt>
                <c:pt idx="76">
                  <c:v>38473</c:v>
                </c:pt>
                <c:pt idx="77">
                  <c:v>38504</c:v>
                </c:pt>
                <c:pt idx="78">
                  <c:v>38534</c:v>
                </c:pt>
                <c:pt idx="79">
                  <c:v>38565</c:v>
                </c:pt>
                <c:pt idx="80">
                  <c:v>38596</c:v>
                </c:pt>
                <c:pt idx="81">
                  <c:v>38626</c:v>
                </c:pt>
                <c:pt idx="82">
                  <c:v>38657</c:v>
                </c:pt>
                <c:pt idx="83">
                  <c:v>38687</c:v>
                </c:pt>
                <c:pt idx="84">
                  <c:v>38718</c:v>
                </c:pt>
                <c:pt idx="85">
                  <c:v>38749</c:v>
                </c:pt>
                <c:pt idx="86">
                  <c:v>38777</c:v>
                </c:pt>
                <c:pt idx="87">
                  <c:v>38808</c:v>
                </c:pt>
                <c:pt idx="88">
                  <c:v>38838</c:v>
                </c:pt>
                <c:pt idx="89">
                  <c:v>38869</c:v>
                </c:pt>
                <c:pt idx="90">
                  <c:v>38899</c:v>
                </c:pt>
                <c:pt idx="91">
                  <c:v>38930</c:v>
                </c:pt>
                <c:pt idx="92">
                  <c:v>38961</c:v>
                </c:pt>
                <c:pt idx="93">
                  <c:v>38991</c:v>
                </c:pt>
                <c:pt idx="94">
                  <c:v>39022</c:v>
                </c:pt>
                <c:pt idx="95">
                  <c:v>39052</c:v>
                </c:pt>
                <c:pt idx="96">
                  <c:v>39083</c:v>
                </c:pt>
                <c:pt idx="97">
                  <c:v>39114</c:v>
                </c:pt>
                <c:pt idx="98">
                  <c:v>39142</c:v>
                </c:pt>
                <c:pt idx="99">
                  <c:v>39173</c:v>
                </c:pt>
                <c:pt idx="100">
                  <c:v>39203</c:v>
                </c:pt>
                <c:pt idx="101">
                  <c:v>39234</c:v>
                </c:pt>
                <c:pt idx="102">
                  <c:v>39264</c:v>
                </c:pt>
                <c:pt idx="103">
                  <c:v>39295</c:v>
                </c:pt>
                <c:pt idx="104">
                  <c:v>39326</c:v>
                </c:pt>
                <c:pt idx="105">
                  <c:v>39356</c:v>
                </c:pt>
                <c:pt idx="106">
                  <c:v>39387</c:v>
                </c:pt>
                <c:pt idx="107">
                  <c:v>39417</c:v>
                </c:pt>
                <c:pt idx="108">
                  <c:v>39448</c:v>
                </c:pt>
                <c:pt idx="109">
                  <c:v>39479</c:v>
                </c:pt>
                <c:pt idx="110">
                  <c:v>39508</c:v>
                </c:pt>
                <c:pt idx="111">
                  <c:v>39539</c:v>
                </c:pt>
                <c:pt idx="112">
                  <c:v>39569</c:v>
                </c:pt>
                <c:pt idx="113">
                  <c:v>39600</c:v>
                </c:pt>
                <c:pt idx="114">
                  <c:v>39630</c:v>
                </c:pt>
                <c:pt idx="115">
                  <c:v>39661</c:v>
                </c:pt>
                <c:pt idx="116">
                  <c:v>39692</c:v>
                </c:pt>
                <c:pt idx="117">
                  <c:v>39722</c:v>
                </c:pt>
                <c:pt idx="118">
                  <c:v>39753</c:v>
                </c:pt>
                <c:pt idx="119">
                  <c:v>39783</c:v>
                </c:pt>
                <c:pt idx="120">
                  <c:v>39814</c:v>
                </c:pt>
                <c:pt idx="121">
                  <c:v>39845</c:v>
                </c:pt>
                <c:pt idx="122">
                  <c:v>39873</c:v>
                </c:pt>
                <c:pt idx="123">
                  <c:v>39904</c:v>
                </c:pt>
                <c:pt idx="124">
                  <c:v>39934</c:v>
                </c:pt>
                <c:pt idx="125">
                  <c:v>39965</c:v>
                </c:pt>
                <c:pt idx="126">
                  <c:v>39995</c:v>
                </c:pt>
                <c:pt idx="127">
                  <c:v>40026</c:v>
                </c:pt>
                <c:pt idx="128">
                  <c:v>40057</c:v>
                </c:pt>
                <c:pt idx="129">
                  <c:v>40087</c:v>
                </c:pt>
                <c:pt idx="130">
                  <c:v>40118</c:v>
                </c:pt>
                <c:pt idx="131">
                  <c:v>40148</c:v>
                </c:pt>
                <c:pt idx="132">
                  <c:v>40179</c:v>
                </c:pt>
                <c:pt idx="133">
                  <c:v>40210</c:v>
                </c:pt>
                <c:pt idx="134">
                  <c:v>40238</c:v>
                </c:pt>
                <c:pt idx="135">
                  <c:v>40269</c:v>
                </c:pt>
                <c:pt idx="136">
                  <c:v>40299</c:v>
                </c:pt>
                <c:pt idx="137">
                  <c:v>40330</c:v>
                </c:pt>
                <c:pt idx="138">
                  <c:v>40360</c:v>
                </c:pt>
                <c:pt idx="139">
                  <c:v>40391</c:v>
                </c:pt>
                <c:pt idx="140">
                  <c:v>40422</c:v>
                </c:pt>
                <c:pt idx="141">
                  <c:v>40452</c:v>
                </c:pt>
                <c:pt idx="142">
                  <c:v>40483</c:v>
                </c:pt>
                <c:pt idx="143">
                  <c:v>40513</c:v>
                </c:pt>
                <c:pt idx="144">
                  <c:v>40544</c:v>
                </c:pt>
                <c:pt idx="145">
                  <c:v>40575</c:v>
                </c:pt>
                <c:pt idx="146">
                  <c:v>40603</c:v>
                </c:pt>
                <c:pt idx="147">
                  <c:v>40634</c:v>
                </c:pt>
                <c:pt idx="148">
                  <c:v>40664</c:v>
                </c:pt>
                <c:pt idx="149">
                  <c:v>40695</c:v>
                </c:pt>
                <c:pt idx="150">
                  <c:v>40725</c:v>
                </c:pt>
                <c:pt idx="151">
                  <c:v>40756</c:v>
                </c:pt>
                <c:pt idx="152">
                  <c:v>40787</c:v>
                </c:pt>
                <c:pt idx="153">
                  <c:v>40817</c:v>
                </c:pt>
                <c:pt idx="154">
                  <c:v>40848</c:v>
                </c:pt>
                <c:pt idx="155">
                  <c:v>40878</c:v>
                </c:pt>
                <c:pt idx="156">
                  <c:v>40909</c:v>
                </c:pt>
                <c:pt idx="157">
                  <c:v>40940</c:v>
                </c:pt>
                <c:pt idx="158">
                  <c:v>40969</c:v>
                </c:pt>
                <c:pt idx="159">
                  <c:v>41000</c:v>
                </c:pt>
                <c:pt idx="160">
                  <c:v>41030</c:v>
                </c:pt>
                <c:pt idx="161">
                  <c:v>41061</c:v>
                </c:pt>
                <c:pt idx="162">
                  <c:v>41091</c:v>
                </c:pt>
                <c:pt idx="163">
                  <c:v>41122</c:v>
                </c:pt>
                <c:pt idx="164">
                  <c:v>41153</c:v>
                </c:pt>
                <c:pt idx="165">
                  <c:v>41183</c:v>
                </c:pt>
                <c:pt idx="166">
                  <c:v>41214</c:v>
                </c:pt>
                <c:pt idx="167">
                  <c:v>41244</c:v>
                </c:pt>
                <c:pt idx="168">
                  <c:v>41275</c:v>
                </c:pt>
                <c:pt idx="169">
                  <c:v>41306</c:v>
                </c:pt>
                <c:pt idx="170">
                  <c:v>41334</c:v>
                </c:pt>
                <c:pt idx="171">
                  <c:v>41365</c:v>
                </c:pt>
                <c:pt idx="172">
                  <c:v>41395</c:v>
                </c:pt>
                <c:pt idx="173">
                  <c:v>41426</c:v>
                </c:pt>
                <c:pt idx="174">
                  <c:v>41456</c:v>
                </c:pt>
                <c:pt idx="175">
                  <c:v>41487</c:v>
                </c:pt>
                <c:pt idx="176">
                  <c:v>41518</c:v>
                </c:pt>
                <c:pt idx="177">
                  <c:v>41548</c:v>
                </c:pt>
                <c:pt idx="178">
                  <c:v>41579</c:v>
                </c:pt>
                <c:pt idx="179">
                  <c:v>41609</c:v>
                </c:pt>
                <c:pt idx="180">
                  <c:v>41640</c:v>
                </c:pt>
                <c:pt idx="181">
                  <c:v>41671</c:v>
                </c:pt>
                <c:pt idx="182">
                  <c:v>41699</c:v>
                </c:pt>
                <c:pt idx="183">
                  <c:v>41730</c:v>
                </c:pt>
                <c:pt idx="184">
                  <c:v>41760</c:v>
                </c:pt>
                <c:pt idx="185">
                  <c:v>41791</c:v>
                </c:pt>
                <c:pt idx="186">
                  <c:v>41821</c:v>
                </c:pt>
                <c:pt idx="187">
                  <c:v>41852</c:v>
                </c:pt>
                <c:pt idx="188">
                  <c:v>41883</c:v>
                </c:pt>
                <c:pt idx="189">
                  <c:v>41913</c:v>
                </c:pt>
                <c:pt idx="190">
                  <c:v>41944</c:v>
                </c:pt>
                <c:pt idx="191">
                  <c:v>41974</c:v>
                </c:pt>
                <c:pt idx="192">
                  <c:v>42005</c:v>
                </c:pt>
                <c:pt idx="193">
                  <c:v>42036</c:v>
                </c:pt>
                <c:pt idx="194">
                  <c:v>42064</c:v>
                </c:pt>
                <c:pt idx="195">
                  <c:v>42095</c:v>
                </c:pt>
                <c:pt idx="196">
                  <c:v>42125</c:v>
                </c:pt>
                <c:pt idx="197">
                  <c:v>42156</c:v>
                </c:pt>
                <c:pt idx="198">
                  <c:v>42186</c:v>
                </c:pt>
                <c:pt idx="199">
                  <c:v>42217</c:v>
                </c:pt>
                <c:pt idx="200">
                  <c:v>42248</c:v>
                </c:pt>
                <c:pt idx="201">
                  <c:v>42278</c:v>
                </c:pt>
                <c:pt idx="202">
                  <c:v>42309</c:v>
                </c:pt>
                <c:pt idx="203">
                  <c:v>42339</c:v>
                </c:pt>
                <c:pt idx="204">
                  <c:v>42370</c:v>
                </c:pt>
                <c:pt idx="205">
                  <c:v>42401</c:v>
                </c:pt>
                <c:pt idx="206">
                  <c:v>42430</c:v>
                </c:pt>
                <c:pt idx="207">
                  <c:v>42461</c:v>
                </c:pt>
                <c:pt idx="208">
                  <c:v>42491</c:v>
                </c:pt>
                <c:pt idx="209">
                  <c:v>42522</c:v>
                </c:pt>
                <c:pt idx="210">
                  <c:v>42552</c:v>
                </c:pt>
                <c:pt idx="211">
                  <c:v>42583</c:v>
                </c:pt>
                <c:pt idx="212">
                  <c:v>42614</c:v>
                </c:pt>
                <c:pt idx="213">
                  <c:v>42644</c:v>
                </c:pt>
                <c:pt idx="214">
                  <c:v>42675</c:v>
                </c:pt>
                <c:pt idx="215">
                  <c:v>42705</c:v>
                </c:pt>
                <c:pt idx="216">
                  <c:v>42736</c:v>
                </c:pt>
                <c:pt idx="217">
                  <c:v>42767</c:v>
                </c:pt>
                <c:pt idx="218">
                  <c:v>42795</c:v>
                </c:pt>
                <c:pt idx="219">
                  <c:v>42826</c:v>
                </c:pt>
                <c:pt idx="220">
                  <c:v>42856</c:v>
                </c:pt>
                <c:pt idx="221">
                  <c:v>42887</c:v>
                </c:pt>
                <c:pt idx="222">
                  <c:v>42917</c:v>
                </c:pt>
                <c:pt idx="223">
                  <c:v>42948</c:v>
                </c:pt>
                <c:pt idx="224">
                  <c:v>42979</c:v>
                </c:pt>
                <c:pt idx="225">
                  <c:v>43009</c:v>
                </c:pt>
                <c:pt idx="226">
                  <c:v>43040</c:v>
                </c:pt>
                <c:pt idx="227">
                  <c:v>43070</c:v>
                </c:pt>
                <c:pt idx="228">
                  <c:v>43101</c:v>
                </c:pt>
                <c:pt idx="229">
                  <c:v>43132</c:v>
                </c:pt>
                <c:pt idx="230">
                  <c:v>43160</c:v>
                </c:pt>
                <c:pt idx="231">
                  <c:v>43191</c:v>
                </c:pt>
                <c:pt idx="232">
                  <c:v>43221</c:v>
                </c:pt>
                <c:pt idx="233">
                  <c:v>43252</c:v>
                </c:pt>
                <c:pt idx="234">
                  <c:v>43282</c:v>
                </c:pt>
                <c:pt idx="235">
                  <c:v>43313</c:v>
                </c:pt>
                <c:pt idx="236">
                  <c:v>43344</c:v>
                </c:pt>
                <c:pt idx="237">
                  <c:v>43374</c:v>
                </c:pt>
                <c:pt idx="238">
                  <c:v>43405</c:v>
                </c:pt>
                <c:pt idx="239">
                  <c:v>43435</c:v>
                </c:pt>
                <c:pt idx="240">
                  <c:v>43466</c:v>
                </c:pt>
                <c:pt idx="241">
                  <c:v>43497</c:v>
                </c:pt>
                <c:pt idx="242">
                  <c:v>43525</c:v>
                </c:pt>
                <c:pt idx="243">
                  <c:v>43556</c:v>
                </c:pt>
                <c:pt idx="244">
                  <c:v>43586</c:v>
                </c:pt>
                <c:pt idx="245">
                  <c:v>43617</c:v>
                </c:pt>
                <c:pt idx="246">
                  <c:v>43647</c:v>
                </c:pt>
                <c:pt idx="247">
                  <c:v>43678</c:v>
                </c:pt>
                <c:pt idx="248">
                  <c:v>43709</c:v>
                </c:pt>
                <c:pt idx="249">
                  <c:v>43739</c:v>
                </c:pt>
                <c:pt idx="250">
                  <c:v>43770</c:v>
                </c:pt>
                <c:pt idx="251">
                  <c:v>43800</c:v>
                </c:pt>
                <c:pt idx="252">
                  <c:v>43831</c:v>
                </c:pt>
                <c:pt idx="253">
                  <c:v>43862</c:v>
                </c:pt>
                <c:pt idx="254">
                  <c:v>43891</c:v>
                </c:pt>
                <c:pt idx="255">
                  <c:v>43922</c:v>
                </c:pt>
                <c:pt idx="256">
                  <c:v>43952</c:v>
                </c:pt>
                <c:pt idx="257">
                  <c:v>43983</c:v>
                </c:pt>
                <c:pt idx="258">
                  <c:v>44013</c:v>
                </c:pt>
                <c:pt idx="259">
                  <c:v>44044</c:v>
                </c:pt>
                <c:pt idx="260">
                  <c:v>44075</c:v>
                </c:pt>
                <c:pt idx="261">
                  <c:v>44105</c:v>
                </c:pt>
                <c:pt idx="262">
                  <c:v>44136</c:v>
                </c:pt>
                <c:pt idx="263">
                  <c:v>44166</c:v>
                </c:pt>
                <c:pt idx="264">
                  <c:v>44197</c:v>
                </c:pt>
                <c:pt idx="265">
                  <c:v>44228</c:v>
                </c:pt>
                <c:pt idx="266">
                  <c:v>44256</c:v>
                </c:pt>
                <c:pt idx="267">
                  <c:v>44287</c:v>
                </c:pt>
                <c:pt idx="268">
                  <c:v>44317</c:v>
                </c:pt>
                <c:pt idx="269">
                  <c:v>44348</c:v>
                </c:pt>
                <c:pt idx="270">
                  <c:v>44378</c:v>
                </c:pt>
                <c:pt idx="271">
                  <c:v>44409</c:v>
                </c:pt>
                <c:pt idx="272">
                  <c:v>44440</c:v>
                </c:pt>
                <c:pt idx="273">
                  <c:v>44470</c:v>
                </c:pt>
                <c:pt idx="274">
                  <c:v>44501</c:v>
                </c:pt>
                <c:pt idx="275">
                  <c:v>44531</c:v>
                </c:pt>
                <c:pt idx="276">
                  <c:v>44562</c:v>
                </c:pt>
                <c:pt idx="277">
                  <c:v>44593</c:v>
                </c:pt>
                <c:pt idx="278">
                  <c:v>44621</c:v>
                </c:pt>
                <c:pt idx="279">
                  <c:v>44652</c:v>
                </c:pt>
                <c:pt idx="280">
                  <c:v>44682</c:v>
                </c:pt>
                <c:pt idx="281">
                  <c:v>44713</c:v>
                </c:pt>
                <c:pt idx="282">
                  <c:v>44743</c:v>
                </c:pt>
                <c:pt idx="283">
                  <c:v>44774</c:v>
                </c:pt>
                <c:pt idx="284">
                  <c:v>44805</c:v>
                </c:pt>
                <c:pt idx="285">
                  <c:v>44835</c:v>
                </c:pt>
                <c:pt idx="286">
                  <c:v>44866</c:v>
                </c:pt>
                <c:pt idx="287">
                  <c:v>44896</c:v>
                </c:pt>
                <c:pt idx="288">
                  <c:v>44927</c:v>
                </c:pt>
                <c:pt idx="289">
                  <c:v>44958</c:v>
                </c:pt>
                <c:pt idx="290">
                  <c:v>44986</c:v>
                </c:pt>
                <c:pt idx="291">
                  <c:v>45017</c:v>
                </c:pt>
                <c:pt idx="292">
                  <c:v>45047</c:v>
                </c:pt>
                <c:pt idx="293">
                  <c:v>45078</c:v>
                </c:pt>
                <c:pt idx="294">
                  <c:v>45108</c:v>
                </c:pt>
                <c:pt idx="295">
                  <c:v>45139</c:v>
                </c:pt>
                <c:pt idx="296">
                  <c:v>45170</c:v>
                </c:pt>
                <c:pt idx="297">
                  <c:v>45200</c:v>
                </c:pt>
                <c:pt idx="298">
                  <c:v>45231</c:v>
                </c:pt>
                <c:pt idx="299">
                  <c:v>45261</c:v>
                </c:pt>
                <c:pt idx="300">
                  <c:v>45292</c:v>
                </c:pt>
                <c:pt idx="301">
                  <c:v>45323</c:v>
                </c:pt>
                <c:pt idx="302">
                  <c:v>45352</c:v>
                </c:pt>
                <c:pt idx="303">
                  <c:v>45383</c:v>
                </c:pt>
                <c:pt idx="304">
                  <c:v>45413</c:v>
                </c:pt>
                <c:pt idx="305">
                  <c:v>45444</c:v>
                </c:pt>
                <c:pt idx="306">
                  <c:v>45474</c:v>
                </c:pt>
                <c:pt idx="307">
                  <c:v>45505</c:v>
                </c:pt>
                <c:pt idx="308">
                  <c:v>45536</c:v>
                </c:pt>
                <c:pt idx="309">
                  <c:v>45566</c:v>
                </c:pt>
                <c:pt idx="310">
                  <c:v>45597</c:v>
                </c:pt>
                <c:pt idx="311">
                  <c:v>45627</c:v>
                </c:pt>
                <c:pt idx="312">
                  <c:v>45658</c:v>
                </c:pt>
                <c:pt idx="313">
                  <c:v>45689</c:v>
                </c:pt>
                <c:pt idx="314">
                  <c:v>45717</c:v>
                </c:pt>
                <c:pt idx="315">
                  <c:v>45748</c:v>
                </c:pt>
                <c:pt idx="316">
                  <c:v>45778</c:v>
                </c:pt>
                <c:pt idx="317">
                  <c:v>45809</c:v>
                </c:pt>
                <c:pt idx="318">
                  <c:v>45839</c:v>
                </c:pt>
                <c:pt idx="319">
                  <c:v>45870</c:v>
                </c:pt>
                <c:pt idx="320">
                  <c:v>45901</c:v>
                </c:pt>
                <c:pt idx="321">
                  <c:v>45931</c:v>
                </c:pt>
                <c:pt idx="322">
                  <c:v>45962</c:v>
                </c:pt>
                <c:pt idx="323">
                  <c:v>45992</c:v>
                </c:pt>
                <c:pt idx="324">
                  <c:v>46023</c:v>
                </c:pt>
                <c:pt idx="325">
                  <c:v>46054</c:v>
                </c:pt>
                <c:pt idx="326">
                  <c:v>46082</c:v>
                </c:pt>
                <c:pt idx="327">
                  <c:v>46113</c:v>
                </c:pt>
                <c:pt idx="328">
                  <c:v>46143</c:v>
                </c:pt>
                <c:pt idx="329">
                  <c:v>46174</c:v>
                </c:pt>
                <c:pt idx="330">
                  <c:v>46204</c:v>
                </c:pt>
                <c:pt idx="331">
                  <c:v>46235</c:v>
                </c:pt>
                <c:pt idx="332">
                  <c:v>46266</c:v>
                </c:pt>
                <c:pt idx="333">
                  <c:v>46296</c:v>
                </c:pt>
                <c:pt idx="334">
                  <c:v>46327</c:v>
                </c:pt>
                <c:pt idx="335">
                  <c:v>46357</c:v>
                </c:pt>
                <c:pt idx="336">
                  <c:v>46357</c:v>
                </c:pt>
                <c:pt idx="337">
                  <c:v>46388</c:v>
                </c:pt>
                <c:pt idx="338">
                  <c:v>46419</c:v>
                </c:pt>
                <c:pt idx="339">
                  <c:v>46447</c:v>
                </c:pt>
                <c:pt idx="340">
                  <c:v>46478</c:v>
                </c:pt>
                <c:pt idx="341">
                  <c:v>46508</c:v>
                </c:pt>
                <c:pt idx="342">
                  <c:v>46539</c:v>
                </c:pt>
                <c:pt idx="343">
                  <c:v>46569</c:v>
                </c:pt>
                <c:pt idx="344">
                  <c:v>46600</c:v>
                </c:pt>
                <c:pt idx="345">
                  <c:v>46631</c:v>
                </c:pt>
                <c:pt idx="346">
                  <c:v>46661</c:v>
                </c:pt>
                <c:pt idx="347">
                  <c:v>46692</c:v>
                </c:pt>
                <c:pt idx="348">
                  <c:v>46722</c:v>
                </c:pt>
              </c:numCache>
            </c:numRef>
          </c:cat>
          <c:val>
            <c:numRef>
              <c:f>GAAS!$F$3:$F$351</c:f>
              <c:numCache>
                <c:formatCode>0.000</c:formatCode>
                <c:ptCount val="349"/>
                <c:pt idx="0">
                  <c:v>5.2620683258228391</c:v>
                </c:pt>
                <c:pt idx="1">
                  <c:v>5.4443901812955993</c:v>
                </c:pt>
                <c:pt idx="2">
                  <c:v>5.6028925064958734</c:v>
                </c:pt>
                <c:pt idx="3">
                  <c:v>5.3211371147695781</c:v>
                </c:pt>
                <c:pt idx="4">
                  <c:v>5.3564026224328076</c:v>
                </c:pt>
                <c:pt idx="5">
                  <c:v>5.4869259009059261</c:v>
                </c:pt>
                <c:pt idx="6">
                  <c:v>5.6877363196754152</c:v>
                </c:pt>
                <c:pt idx="7">
                  <c:v>5.5619312839077981</c:v>
                </c:pt>
                <c:pt idx="8">
                  <c:v>5.6189252550450313</c:v>
                </c:pt>
                <c:pt idx="9">
                  <c:v>6.4934971383806674</c:v>
                </c:pt>
                <c:pt idx="10">
                  <c:v>6.7309069234727508</c:v>
                </c:pt>
                <c:pt idx="11">
                  <c:v>6.8758001906951494</c:v>
                </c:pt>
                <c:pt idx="12">
                  <c:v>10.283137250002294</c:v>
                </c:pt>
                <c:pt idx="13">
                  <c:v>10.594237287819134</c:v>
                </c:pt>
                <c:pt idx="14">
                  <c:v>10.803200710783955</c:v>
                </c:pt>
                <c:pt idx="15">
                  <c:v>11.690740459792286</c:v>
                </c:pt>
                <c:pt idx="16">
                  <c:v>12.19368607661872</c:v>
                </c:pt>
                <c:pt idx="17">
                  <c:v>11.622386765303192</c:v>
                </c:pt>
                <c:pt idx="18">
                  <c:v>13.040643074580094</c:v>
                </c:pt>
                <c:pt idx="19">
                  <c:v>13.532431578538374</c:v>
                </c:pt>
                <c:pt idx="20">
                  <c:v>14.077625232981966</c:v>
                </c:pt>
                <c:pt idx="21">
                  <c:v>15.71704172759549</c:v>
                </c:pt>
                <c:pt idx="22">
                  <c:v>15.668993170900219</c:v>
                </c:pt>
                <c:pt idx="23">
                  <c:v>14.916205783328605</c:v>
                </c:pt>
                <c:pt idx="24">
                  <c:v>15.346018779960255</c:v>
                </c:pt>
                <c:pt idx="25">
                  <c:v>15.630424596850256</c:v>
                </c:pt>
                <c:pt idx="26">
                  <c:v>15.840967649638161</c:v>
                </c:pt>
                <c:pt idx="27">
                  <c:v>16.273619445252635</c:v>
                </c:pt>
                <c:pt idx="28">
                  <c:v>16.593498290431864</c:v>
                </c:pt>
                <c:pt idx="29">
                  <c:v>17.028423350719663</c:v>
                </c:pt>
                <c:pt idx="30">
                  <c:v>14.960143862432545</c:v>
                </c:pt>
                <c:pt idx="31">
                  <c:v>14.298255548893426</c:v>
                </c:pt>
                <c:pt idx="32">
                  <c:v>14.140137997111145</c:v>
                </c:pt>
                <c:pt idx="33">
                  <c:v>12.20642483454909</c:v>
                </c:pt>
                <c:pt idx="34">
                  <c:v>12.436465083722025</c:v>
                </c:pt>
                <c:pt idx="35">
                  <c:v>12.313872249930043</c:v>
                </c:pt>
                <c:pt idx="36">
                  <c:v>10.770997521230187</c:v>
                </c:pt>
                <c:pt idx="37">
                  <c:v>10.925223599646547</c:v>
                </c:pt>
                <c:pt idx="38">
                  <c:v>10.851153673000944</c:v>
                </c:pt>
                <c:pt idx="39">
                  <c:v>9.8514582608045238</c:v>
                </c:pt>
                <c:pt idx="40">
                  <c:v>9.5187967775788405</c:v>
                </c:pt>
                <c:pt idx="41">
                  <c:v>9.1287812282962957</c:v>
                </c:pt>
                <c:pt idx="42">
                  <c:v>8.6479425879384273</c:v>
                </c:pt>
                <c:pt idx="43">
                  <c:v>8.7847113676029505</c:v>
                </c:pt>
                <c:pt idx="44">
                  <c:v>8.8047273721781387</c:v>
                </c:pt>
                <c:pt idx="45">
                  <c:v>9.6605407742243941</c:v>
                </c:pt>
                <c:pt idx="46">
                  <c:v>9.4662331221306726</c:v>
                </c:pt>
                <c:pt idx="47">
                  <c:v>9.410514330374383</c:v>
                </c:pt>
                <c:pt idx="48">
                  <c:v>10.110597872885574</c:v>
                </c:pt>
                <c:pt idx="49">
                  <c:v>9.9586257099460642</c:v>
                </c:pt>
                <c:pt idx="50">
                  <c:v>10.011097957853339</c:v>
                </c:pt>
                <c:pt idx="51">
                  <c:v>11.230034098557626</c:v>
                </c:pt>
                <c:pt idx="52">
                  <c:v>10.556354982643773</c:v>
                </c:pt>
                <c:pt idx="53">
                  <c:v>10.455498856007457</c:v>
                </c:pt>
                <c:pt idx="54">
                  <c:v>10.829990483966398</c:v>
                </c:pt>
                <c:pt idx="55">
                  <c:v>11.033727697010701</c:v>
                </c:pt>
                <c:pt idx="56">
                  <c:v>10.924233080906438</c:v>
                </c:pt>
                <c:pt idx="57">
                  <c:v>10.478548501121342</c:v>
                </c:pt>
                <c:pt idx="58">
                  <c:v>10.481743673811737</c:v>
                </c:pt>
                <c:pt idx="59">
                  <c:v>9.9805308518904159</c:v>
                </c:pt>
                <c:pt idx="60">
                  <c:v>9.1454804254910513</c:v>
                </c:pt>
                <c:pt idx="61">
                  <c:v>9.1438734700517088</c:v>
                </c:pt>
                <c:pt idx="62">
                  <c:v>9.4269007783984549</c:v>
                </c:pt>
                <c:pt idx="63">
                  <c:v>9.8962775862799433</c:v>
                </c:pt>
                <c:pt idx="64">
                  <c:v>9.8876220559172356</c:v>
                </c:pt>
                <c:pt idx="65">
                  <c:v>9.7686914423246183</c:v>
                </c:pt>
                <c:pt idx="66">
                  <c:v>10.590318155960224</c:v>
                </c:pt>
                <c:pt idx="67">
                  <c:v>10.655276905705378</c:v>
                </c:pt>
                <c:pt idx="68">
                  <c:v>10.626870209836419</c:v>
                </c:pt>
                <c:pt idx="69">
                  <c:v>11.830817100143001</c:v>
                </c:pt>
                <c:pt idx="70">
                  <c:v>11.384972286209997</c:v>
                </c:pt>
                <c:pt idx="71">
                  <c:v>11.037407357771736</c:v>
                </c:pt>
                <c:pt idx="72">
                  <c:v>13.146829215900206</c:v>
                </c:pt>
                <c:pt idx="73">
                  <c:v>13.257553265509221</c:v>
                </c:pt>
                <c:pt idx="74">
                  <c:v>13.08465972013901</c:v>
                </c:pt>
                <c:pt idx="75">
                  <c:v>14.514614382146421</c:v>
                </c:pt>
                <c:pt idx="76">
                  <c:v>14.79610538093157</c:v>
                </c:pt>
                <c:pt idx="77">
                  <c:v>15.455353450921621</c:v>
                </c:pt>
                <c:pt idx="78">
                  <c:v>17.358260400358606</c:v>
                </c:pt>
                <c:pt idx="79">
                  <c:v>16.998783729428549</c:v>
                </c:pt>
                <c:pt idx="80">
                  <c:v>17.083916078401529</c:v>
                </c:pt>
                <c:pt idx="81">
                  <c:v>19.738316856851213</c:v>
                </c:pt>
                <c:pt idx="82">
                  <c:v>20.1295252320906</c:v>
                </c:pt>
                <c:pt idx="83">
                  <c:v>20.006988727220044</c:v>
                </c:pt>
                <c:pt idx="84">
                  <c:v>21.538783148192604</c:v>
                </c:pt>
                <c:pt idx="85">
                  <c:v>21.873892072931074</c:v>
                </c:pt>
                <c:pt idx="86">
                  <c:v>21.712593515576916</c:v>
                </c:pt>
                <c:pt idx="87">
                  <c:v>22.612931875247302</c:v>
                </c:pt>
                <c:pt idx="88">
                  <c:v>21.737627116650781</c:v>
                </c:pt>
                <c:pt idx="89">
                  <c:v>21.921106852808595</c:v>
                </c:pt>
                <c:pt idx="90">
                  <c:v>22.58550577479992</c:v>
                </c:pt>
                <c:pt idx="91">
                  <c:v>22.356612139770032</c:v>
                </c:pt>
                <c:pt idx="92">
                  <c:v>22.511919714765376</c:v>
                </c:pt>
                <c:pt idx="93">
                  <c:v>23.374670530736822</c:v>
                </c:pt>
                <c:pt idx="94">
                  <c:v>22.884101368582584</c:v>
                </c:pt>
                <c:pt idx="95">
                  <c:v>22.334504907647428</c:v>
                </c:pt>
                <c:pt idx="96">
                  <c:v>22.016312071050965</c:v>
                </c:pt>
                <c:pt idx="97">
                  <c:v>21.869521301943223</c:v>
                </c:pt>
                <c:pt idx="98">
                  <c:v>21.595946399442823</c:v>
                </c:pt>
                <c:pt idx="99">
                  <c:v>19.756276526487781</c:v>
                </c:pt>
                <c:pt idx="100">
                  <c:v>19.749095568644243</c:v>
                </c:pt>
                <c:pt idx="101">
                  <c:v>19.892128835863662</c:v>
                </c:pt>
                <c:pt idx="102">
                  <c:v>19.349531169577194</c:v>
                </c:pt>
                <c:pt idx="103">
                  <c:v>19.492398457568882</c:v>
                </c:pt>
                <c:pt idx="104">
                  <c:v>19.094445942700911</c:v>
                </c:pt>
                <c:pt idx="105">
                  <c:v>20.505390240239844</c:v>
                </c:pt>
                <c:pt idx="106">
                  <c:v>19.877652821426299</c:v>
                </c:pt>
                <c:pt idx="107">
                  <c:v>20.046577384677292</c:v>
                </c:pt>
                <c:pt idx="108">
                  <c:v>23.774670450797423</c:v>
                </c:pt>
                <c:pt idx="109">
                  <c:v>23.724240590322633</c:v>
                </c:pt>
                <c:pt idx="110">
                  <c:v>22.561368903172475</c:v>
                </c:pt>
                <c:pt idx="111">
                  <c:v>25.754800787312938</c:v>
                </c:pt>
                <c:pt idx="112">
                  <c:v>26.085125355197651</c:v>
                </c:pt>
                <c:pt idx="113">
                  <c:v>26.072433844495322</c:v>
                </c:pt>
                <c:pt idx="114">
                  <c:v>31.069041551568706</c:v>
                </c:pt>
                <c:pt idx="115">
                  <c:v>32.737763721086139</c:v>
                </c:pt>
                <c:pt idx="116">
                  <c:v>34.138691085035198</c:v>
                </c:pt>
                <c:pt idx="117">
                  <c:v>41.172348544255236</c:v>
                </c:pt>
                <c:pt idx="118">
                  <c:v>42.858920308059275</c:v>
                </c:pt>
                <c:pt idx="119">
                  <c:v>40.425226075616798</c:v>
                </c:pt>
                <c:pt idx="120">
                  <c:v>41.240187747352302</c:v>
                </c:pt>
                <c:pt idx="121">
                  <c:v>38.552963740916631</c:v>
                </c:pt>
                <c:pt idx="122">
                  <c:v>29.966385877997567</c:v>
                </c:pt>
                <c:pt idx="123">
                  <c:v>22.215314391869171</c:v>
                </c:pt>
                <c:pt idx="124">
                  <c:v>21.487698830358354</c:v>
                </c:pt>
                <c:pt idx="125">
                  <c:v>20.922534953695216</c:v>
                </c:pt>
                <c:pt idx="126">
                  <c:v>16.428575559046578</c:v>
                </c:pt>
                <c:pt idx="127">
                  <c:v>14.76967902660526</c:v>
                </c:pt>
                <c:pt idx="128">
                  <c:v>14.456651276013618</c:v>
                </c:pt>
                <c:pt idx="129">
                  <c:v>14.837819082703176</c:v>
                </c:pt>
                <c:pt idx="130">
                  <c:v>14.751839551023323</c:v>
                </c:pt>
                <c:pt idx="131">
                  <c:v>15.084730983543851</c:v>
                </c:pt>
                <c:pt idx="132">
                  <c:v>18.140097527332461</c:v>
                </c:pt>
                <c:pt idx="133">
                  <c:v>18.916875236846618</c:v>
                </c:pt>
                <c:pt idx="134">
                  <c:v>19.070083159985177</c:v>
                </c:pt>
                <c:pt idx="135">
                  <c:v>21.219199263560338</c:v>
                </c:pt>
                <c:pt idx="136">
                  <c:v>21.358376474728853</c:v>
                </c:pt>
                <c:pt idx="137">
                  <c:v>22.482073331103187</c:v>
                </c:pt>
                <c:pt idx="138">
                  <c:v>22.56936811349329</c:v>
                </c:pt>
                <c:pt idx="139">
                  <c:v>22.645673144977902</c:v>
                </c:pt>
                <c:pt idx="140">
                  <c:v>22.091933860202328</c:v>
                </c:pt>
                <c:pt idx="141">
                  <c:v>21.191481110316296</c:v>
                </c:pt>
                <c:pt idx="142">
                  <c:v>21.749153325068129</c:v>
                </c:pt>
                <c:pt idx="143">
                  <c:v>22.512879103235758</c:v>
                </c:pt>
                <c:pt idx="144">
                  <c:v>23.434464881159929</c:v>
                </c:pt>
                <c:pt idx="145">
                  <c:v>22.820128490173715</c:v>
                </c:pt>
                <c:pt idx="146">
                  <c:v>22.1791175215942</c:v>
                </c:pt>
                <c:pt idx="147">
                  <c:v>23.650037911826434</c:v>
                </c:pt>
                <c:pt idx="148">
                  <c:v>23.832878630580769</c:v>
                </c:pt>
                <c:pt idx="149">
                  <c:v>23.672449636378698</c:v>
                </c:pt>
                <c:pt idx="150">
                  <c:v>26.750626391427115</c:v>
                </c:pt>
                <c:pt idx="151">
                  <c:v>26.427965952219868</c:v>
                </c:pt>
                <c:pt idx="152">
                  <c:v>27.555430649694095</c:v>
                </c:pt>
                <c:pt idx="153">
                  <c:v>30.066866332395449</c:v>
                </c:pt>
                <c:pt idx="154">
                  <c:v>30.228298444403201</c:v>
                </c:pt>
                <c:pt idx="155">
                  <c:v>31.387699767208872</c:v>
                </c:pt>
                <c:pt idx="156">
                  <c:v>32.563713906469538</c:v>
                </c:pt>
                <c:pt idx="157">
                  <c:v>31.472366289671285</c:v>
                </c:pt>
                <c:pt idx="158">
                  <c:v>32.294513051551149</c:v>
                </c:pt>
                <c:pt idx="159">
                  <c:v>32.566055049739049</c:v>
                </c:pt>
                <c:pt idx="160">
                  <c:v>33.465584560621963</c:v>
                </c:pt>
                <c:pt idx="161">
                  <c:v>34.145853958799101</c:v>
                </c:pt>
                <c:pt idx="162">
                  <c:v>31.602406735839555</c:v>
                </c:pt>
                <c:pt idx="163">
                  <c:v>31.329792212982184</c:v>
                </c:pt>
                <c:pt idx="164">
                  <c:v>30.113697349015411</c:v>
                </c:pt>
                <c:pt idx="165">
                  <c:v>30.405881721108123</c:v>
                </c:pt>
                <c:pt idx="166">
                  <c:v>30.914907890685484</c:v>
                </c:pt>
                <c:pt idx="167">
                  <c:v>30.250280198932568</c:v>
                </c:pt>
                <c:pt idx="168">
                  <c:v>29.190171525175543</c:v>
                </c:pt>
                <c:pt idx="169">
                  <c:v>29.019858063025303</c:v>
                </c:pt>
                <c:pt idx="170">
                  <c:v>29.901654990924619</c:v>
                </c:pt>
                <c:pt idx="171">
                  <c:v>30.469212951937468</c:v>
                </c:pt>
                <c:pt idx="172">
                  <c:v>29.963881853101245</c:v>
                </c:pt>
                <c:pt idx="173">
                  <c:v>29.245451063770552</c:v>
                </c:pt>
                <c:pt idx="174">
                  <c:v>28.603924882617779</c:v>
                </c:pt>
                <c:pt idx="175">
                  <c:v>28.093442016735018</c:v>
                </c:pt>
                <c:pt idx="176">
                  <c:v>27.961551329518706</c:v>
                </c:pt>
                <c:pt idx="177">
                  <c:v>27.309247813800759</c:v>
                </c:pt>
                <c:pt idx="178">
                  <c:v>27.69896521541849</c:v>
                </c:pt>
                <c:pt idx="179">
                  <c:v>27.334784023383552</c:v>
                </c:pt>
                <c:pt idx="180">
                  <c:v>27.290201156518364</c:v>
                </c:pt>
                <c:pt idx="181">
                  <c:v>27.021171877054879</c:v>
                </c:pt>
                <c:pt idx="182">
                  <c:v>26.357511353243073</c:v>
                </c:pt>
                <c:pt idx="183">
                  <c:v>26.638765727701831</c:v>
                </c:pt>
                <c:pt idx="184">
                  <c:v>26.405452083524469</c:v>
                </c:pt>
                <c:pt idx="185">
                  <c:v>26.383544572263308</c:v>
                </c:pt>
                <c:pt idx="186">
                  <c:v>23.681769648692967</c:v>
                </c:pt>
                <c:pt idx="187">
                  <c:v>26.579111988389496</c:v>
                </c:pt>
                <c:pt idx="188">
                  <c:v>27.510783345403208</c:v>
                </c:pt>
                <c:pt idx="189">
                  <c:v>27.970356311010494</c:v>
                </c:pt>
                <c:pt idx="190">
                  <c:v>27.773604415816514</c:v>
                </c:pt>
                <c:pt idx="191">
                  <c:v>28.89839869225969</c:v>
                </c:pt>
                <c:pt idx="192">
                  <c:v>27.886896215109552</c:v>
                </c:pt>
                <c:pt idx="193">
                  <c:v>27.906272665007133</c:v>
                </c:pt>
                <c:pt idx="194">
                  <c:v>29.275370322329724</c:v>
                </c:pt>
                <c:pt idx="195">
                  <c:v>23.282367219053892</c:v>
                </c:pt>
                <c:pt idx="196">
                  <c:v>22.501393276463748</c:v>
                </c:pt>
                <c:pt idx="197">
                  <c:v>22.172042324827039</c:v>
                </c:pt>
                <c:pt idx="198">
                  <c:v>20.709906206420868</c:v>
                </c:pt>
                <c:pt idx="199">
                  <c:v>20.390669513782051</c:v>
                </c:pt>
                <c:pt idx="200">
                  <c:v>19.706708052015443</c:v>
                </c:pt>
                <c:pt idx="201">
                  <c:v>18.250129902807739</c:v>
                </c:pt>
                <c:pt idx="202">
                  <c:v>18.658164507081786</c:v>
                </c:pt>
                <c:pt idx="203">
                  <c:v>18.192520593550487</c:v>
                </c:pt>
                <c:pt idx="204">
                  <c:v>15.987402133576198</c:v>
                </c:pt>
                <c:pt idx="205">
                  <c:v>14.723326963807663</c:v>
                </c:pt>
                <c:pt idx="206">
                  <c:v>12.525145992837825</c:v>
                </c:pt>
                <c:pt idx="207">
                  <c:v>12.0805882788156</c:v>
                </c:pt>
                <c:pt idx="208">
                  <c:v>12.026069827310478</c:v>
                </c:pt>
                <c:pt idx="209">
                  <c:v>12.263801380374964</c:v>
                </c:pt>
                <c:pt idx="210">
                  <c:v>13.261838139668003</c:v>
                </c:pt>
                <c:pt idx="211">
                  <c:v>12.930345882067536</c:v>
                </c:pt>
                <c:pt idx="212">
                  <c:v>12.035916733815466</c:v>
                </c:pt>
                <c:pt idx="213">
                  <c:v>12.412966360821359</c:v>
                </c:pt>
                <c:pt idx="214">
                  <c:v>14.3434629143755</c:v>
                </c:pt>
                <c:pt idx="215">
                  <c:v>16.684410148536578</c:v>
                </c:pt>
                <c:pt idx="216">
                  <c:v>20.127400643323156</c:v>
                </c:pt>
                <c:pt idx="217">
                  <c:v>19.529221447511706</c:v>
                </c:pt>
                <c:pt idx="218">
                  <c:v>15.770302990308585</c:v>
                </c:pt>
                <c:pt idx="219">
                  <c:v>16.023558544166665</c:v>
                </c:pt>
                <c:pt idx="220">
                  <c:v>15.636820974557688</c:v>
                </c:pt>
                <c:pt idx="221">
                  <c:v>15.12843547860685</c:v>
                </c:pt>
                <c:pt idx="222">
                  <c:v>15.075992215600563</c:v>
                </c:pt>
                <c:pt idx="223">
                  <c:v>15.979811249885353</c:v>
                </c:pt>
                <c:pt idx="224">
                  <c:v>17.265080508440175</c:v>
                </c:pt>
                <c:pt idx="225">
                  <c:v>17.086069978100962</c:v>
                </c:pt>
                <c:pt idx="226">
                  <c:v>19.566939838911843</c:v>
                </c:pt>
                <c:pt idx="227">
                  <c:v>20.781509540209647</c:v>
                </c:pt>
                <c:pt idx="228">
                  <c:v>18.582978122710347</c:v>
                </c:pt>
                <c:pt idx="229">
                  <c:v>21.648439965167896</c:v>
                </c:pt>
                <c:pt idx="230">
                  <c:v>23.529643898523318</c:v>
                </c:pt>
                <c:pt idx="231">
                  <c:v>19.619339592003822</c:v>
                </c:pt>
                <c:pt idx="232">
                  <c:v>21.525789017721831</c:v>
                </c:pt>
                <c:pt idx="233">
                  <c:v>21.92541673779823</c:v>
                </c:pt>
                <c:pt idx="234">
                  <c:v>22.240234968864815</c:v>
                </c:pt>
                <c:pt idx="235">
                  <c:v>23.921282193511466</c:v>
                </c:pt>
                <c:pt idx="236">
                  <c:v>27.835531047112809</c:v>
                </c:pt>
                <c:pt idx="237">
                  <c:v>25.544457658742473</c:v>
                </c:pt>
                <c:pt idx="238">
                  <c:v>24.636114147778589</c:v>
                </c:pt>
                <c:pt idx="239">
                  <c:v>23.618602469657169</c:v>
                </c:pt>
                <c:pt idx="240">
                  <c:v>21.396556749883818</c:v>
                </c:pt>
                <c:pt idx="241">
                  <c:v>17.974305751571453</c:v>
                </c:pt>
                <c:pt idx="242">
                  <c:v>15.683161065286738</c:v>
                </c:pt>
                <c:pt idx="243">
                  <c:v>15.053563091465049</c:v>
                </c:pt>
                <c:pt idx="244">
                  <c:v>13.285620318018806</c:v>
                </c:pt>
                <c:pt idx="245">
                  <c:v>10.513700947688585</c:v>
                </c:pt>
                <c:pt idx="246">
                  <c:v>10.930730982237131</c:v>
                </c:pt>
                <c:pt idx="247">
                  <c:v>10.029835901949637</c:v>
                </c:pt>
                <c:pt idx="248">
                  <c:v>9.5815819594628859</c:v>
                </c:pt>
                <c:pt idx="249">
                  <c:v>10.225375310958086</c:v>
                </c:pt>
                <c:pt idx="250">
                  <c:v>14.612449805769307</c:v>
                </c:pt>
                <c:pt idx="251">
                  <c:v>12.983044149781724</c:v>
                </c:pt>
                <c:pt idx="252">
                  <c:v>11.132847122462632</c:v>
                </c:pt>
                <c:pt idx="253">
                  <c:v>9.3597343406476483</c:v>
                </c:pt>
                <c:pt idx="254">
                  <c:v>8.5992168237498472</c:v>
                </c:pt>
                <c:pt idx="255">
                  <c:v>6.521894995171917</c:v>
                </c:pt>
                <c:pt idx="256">
                  <c:v>4.5247299318622787</c:v>
                </c:pt>
                <c:pt idx="257">
                  <c:v>4.9901535254664582</c:v>
                </c:pt>
                <c:pt idx="258">
                  <c:v>4.8363833999764259</c:v>
                </c:pt>
                <c:pt idx="259">
                  <c:v>7.5641252651595723</c:v>
                </c:pt>
                <c:pt idx="260">
                  <c:v>11.184750388611921</c:v>
                </c:pt>
                <c:pt idx="261">
                  <c:v>13.98912366703407</c:v>
                </c:pt>
                <c:pt idx="262">
                  <c:v>13.805123861031552</c:v>
                </c:pt>
                <c:pt idx="263">
                  <c:v>16.343718356489287</c:v>
                </c:pt>
                <c:pt idx="264">
                  <c:v>20.382113773788724</c:v>
                </c:pt>
                <c:pt idx="265">
                  <c:v>17.412786585300882</c:v>
                </c:pt>
                <c:pt idx="266">
                  <c:v>17.758461430029364</c:v>
                </c:pt>
                <c:pt idx="267">
                  <c:v>20.760921812953047</c:v>
                </c:pt>
                <c:pt idx="268">
                  <c:v>25.221558569493286</c:v>
                </c:pt>
                <c:pt idx="269">
                  <c:v>29.179105930386914</c:v>
                </c:pt>
                <c:pt idx="270">
                  <c:v>36.181343952086984</c:v>
                </c:pt>
                <c:pt idx="271">
                  <c:v>44.400056178999314</c:v>
                </c:pt>
                <c:pt idx="272">
                  <c:v>64.022069846682939</c:v>
                </c:pt>
                <c:pt idx="273">
                  <c:v>87.553784101363433</c:v>
                </c:pt>
                <c:pt idx="274">
                  <c:v>81.240565571344476</c:v>
                </c:pt>
                <c:pt idx="275">
                  <c:v>114.73840824020537</c:v>
                </c:pt>
                <c:pt idx="276">
                  <c:v>85.141733007214356</c:v>
                </c:pt>
                <c:pt idx="277">
                  <c:v>80.3</c:v>
                </c:pt>
                <c:pt idx="278">
                  <c:v>124.3</c:v>
                </c:pt>
                <c:pt idx="279">
                  <c:v>192</c:v>
                </c:pt>
                <c:pt idx="280">
                  <c:v>#N/A</c:v>
                </c:pt>
                <c:pt idx="281">
                  <c:v>#N/A</c:v>
                </c:pt>
                <c:pt idx="282">
                  <c:v>#N/A</c:v>
                </c:pt>
                <c:pt idx="283">
                  <c:v>#N/A</c:v>
                </c:pt>
                <c:pt idx="284">
                  <c:v>#N/A</c:v>
                </c:pt>
                <c:pt idx="285">
                  <c:v>#N/A</c:v>
                </c:pt>
                <c:pt idx="286">
                  <c:v>#N/A</c:v>
                </c:pt>
                <c:pt idx="287">
                  <c:v>#N/A</c:v>
                </c:pt>
                <c:pt idx="288">
                  <c:v>#N/A</c:v>
                </c:pt>
                <c:pt idx="289">
                  <c:v>#N/A</c:v>
                </c:pt>
                <c:pt idx="290">
                  <c:v>#N/A</c:v>
                </c:pt>
                <c:pt idx="291">
                  <c:v>#N/A</c:v>
                </c:pt>
                <c:pt idx="292">
                  <c:v>#N/A</c:v>
                </c:pt>
                <c:pt idx="293">
                  <c:v>#N/A</c:v>
                </c:pt>
                <c:pt idx="294">
                  <c:v>#N/A</c:v>
                </c:pt>
                <c:pt idx="295">
                  <c:v>#N/A</c:v>
                </c:pt>
                <c:pt idx="296">
                  <c:v>#N/A</c:v>
                </c:pt>
                <c:pt idx="297">
                  <c:v>#N/A</c:v>
                </c:pt>
                <c:pt idx="298">
                  <c:v>#N/A</c:v>
                </c:pt>
                <c:pt idx="299">
                  <c:v>#N/A</c:v>
                </c:pt>
                <c:pt idx="300">
                  <c:v>#N/A</c:v>
                </c:pt>
                <c:pt idx="301">
                  <c:v>#N/A</c:v>
                </c:pt>
                <c:pt idx="302">
                  <c:v>#N/A</c:v>
                </c:pt>
                <c:pt idx="303">
                  <c:v>#N/A</c:v>
                </c:pt>
                <c:pt idx="304">
                  <c:v>#N/A</c:v>
                </c:pt>
                <c:pt idx="305">
                  <c:v>#N/A</c:v>
                </c:pt>
                <c:pt idx="306">
                  <c:v>#N/A</c:v>
                </c:pt>
                <c:pt idx="307">
                  <c:v>#N/A</c:v>
                </c:pt>
                <c:pt idx="308">
                  <c:v>#N/A</c:v>
                </c:pt>
                <c:pt idx="309">
                  <c:v>#N/A</c:v>
                </c:pt>
                <c:pt idx="310">
                  <c:v>#N/A</c:v>
                </c:pt>
                <c:pt idx="311">
                  <c:v>#N/A</c:v>
                </c:pt>
                <c:pt idx="312">
                  <c:v>#N/A</c:v>
                </c:pt>
                <c:pt idx="313">
                  <c:v>#N/A</c:v>
                </c:pt>
                <c:pt idx="314">
                  <c:v>#N/A</c:v>
                </c:pt>
                <c:pt idx="315">
                  <c:v>#N/A</c:v>
                </c:pt>
                <c:pt idx="316">
                  <c:v>#N/A</c:v>
                </c:pt>
                <c:pt idx="317">
                  <c:v>#N/A</c:v>
                </c:pt>
                <c:pt idx="318">
                  <c:v>#N/A</c:v>
                </c:pt>
                <c:pt idx="319">
                  <c:v>#N/A</c:v>
                </c:pt>
                <c:pt idx="320">
                  <c:v>#N/A</c:v>
                </c:pt>
                <c:pt idx="321">
                  <c:v>#N/A</c:v>
                </c:pt>
                <c:pt idx="322">
                  <c:v>#N/A</c:v>
                </c:pt>
                <c:pt idx="323">
                  <c:v>#N/A</c:v>
                </c:pt>
                <c:pt idx="324">
                  <c:v>#N/A</c:v>
                </c:pt>
                <c:pt idx="325">
                  <c:v>#N/A</c:v>
                </c:pt>
                <c:pt idx="326">
                  <c:v>#N/A</c:v>
                </c:pt>
                <c:pt idx="327">
                  <c:v>#N/A</c:v>
                </c:pt>
                <c:pt idx="328">
                  <c:v>#N/A</c:v>
                </c:pt>
                <c:pt idx="329">
                  <c:v>#N/A</c:v>
                </c:pt>
                <c:pt idx="330">
                  <c:v>#N/A</c:v>
                </c:pt>
                <c:pt idx="331">
                  <c:v>#N/A</c:v>
                </c:pt>
                <c:pt idx="332">
                  <c:v>#N/A</c:v>
                </c:pt>
                <c:pt idx="333">
                  <c:v>#N/A</c:v>
                </c:pt>
                <c:pt idx="334">
                  <c:v>#N/A</c:v>
                </c:pt>
                <c:pt idx="335">
                  <c:v>#N/A</c:v>
                </c:pt>
                <c:pt idx="336">
                  <c:v>#N/A</c:v>
                </c:pt>
                <c:pt idx="337">
                  <c:v>#N/A</c:v>
                </c:pt>
                <c:pt idx="338">
                  <c:v>#N/A</c:v>
                </c:pt>
                <c:pt idx="339">
                  <c:v>#N/A</c:v>
                </c:pt>
                <c:pt idx="340">
                  <c:v>#N/A</c:v>
                </c:pt>
                <c:pt idx="341">
                  <c:v>#N/A</c:v>
                </c:pt>
                <c:pt idx="342">
                  <c:v>#N/A</c:v>
                </c:pt>
                <c:pt idx="343">
                  <c:v>#N/A</c:v>
                </c:pt>
                <c:pt idx="344">
                  <c:v>#N/A</c:v>
                </c:pt>
                <c:pt idx="345">
                  <c:v>#N/A</c:v>
                </c:pt>
                <c:pt idx="346">
                  <c:v>#N/A</c:v>
                </c:pt>
                <c:pt idx="347">
                  <c:v>#N/A</c:v>
                </c:pt>
                <c:pt idx="348">
                  <c:v>#N/A</c:v>
                </c:pt>
              </c:numCache>
            </c:numRef>
          </c:val>
          <c:smooth val="0"/>
          <c:extLst>
            <c:ext xmlns:c16="http://schemas.microsoft.com/office/drawing/2014/chart" uri="{C3380CC4-5D6E-409C-BE32-E72D297353CC}">
              <c16:uniqueId val="{00000000-4BD5-45CF-8859-87DDDA9E178B}"/>
            </c:ext>
          </c:extLst>
        </c:ser>
        <c:ser>
          <c:idx val="1"/>
          <c:order val="1"/>
          <c:tx>
            <c:strRef>
              <c:f>GAAS!$M$2</c:f>
              <c:strCache>
                <c:ptCount val="1"/>
                <c:pt idx="0">
                  <c:v>Futuurid 25.02.2022</c:v>
                </c:pt>
              </c:strCache>
            </c:strRef>
          </c:tx>
          <c:spPr>
            <a:ln w="28575" cap="rnd">
              <a:solidFill>
                <a:schemeClr val="accent2"/>
              </a:solidFill>
              <a:prstDash val="sysDash"/>
              <a:round/>
            </a:ln>
            <a:effectLst/>
          </c:spPr>
          <c:marker>
            <c:symbol val="none"/>
          </c:marker>
          <c:val>
            <c:numRef>
              <c:f>GAAS!$M$3:$M$351</c:f>
              <c:numCache>
                <c:formatCode>0.000</c:formatCode>
                <c:ptCount val="34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#N/A</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pt idx="200">
                  <c:v>#N/A</c:v>
                </c:pt>
                <c:pt idx="201">
                  <c:v>#N/A</c:v>
                </c:pt>
                <c:pt idx="202">
                  <c:v>#N/A</c:v>
                </c:pt>
                <c:pt idx="203">
                  <c:v>#N/A</c:v>
                </c:pt>
                <c:pt idx="204">
                  <c:v>#N/A</c:v>
                </c:pt>
                <c:pt idx="205">
                  <c:v>#N/A</c:v>
                </c:pt>
                <c:pt idx="206">
                  <c:v>#N/A</c:v>
                </c:pt>
                <c:pt idx="207">
                  <c:v>#N/A</c:v>
                </c:pt>
                <c:pt idx="208">
                  <c:v>#N/A</c:v>
                </c:pt>
                <c:pt idx="209">
                  <c:v>#N/A</c:v>
                </c:pt>
                <c:pt idx="210">
                  <c:v>#N/A</c:v>
                </c:pt>
                <c:pt idx="211">
                  <c:v>#N/A</c:v>
                </c:pt>
                <c:pt idx="212">
                  <c:v>#N/A</c:v>
                </c:pt>
                <c:pt idx="213">
                  <c:v>#N/A</c:v>
                </c:pt>
                <c:pt idx="214">
                  <c:v>#N/A</c:v>
                </c:pt>
                <c:pt idx="215">
                  <c:v>#N/A</c:v>
                </c:pt>
                <c:pt idx="216">
                  <c:v>#N/A</c:v>
                </c:pt>
                <c:pt idx="217">
                  <c:v>#N/A</c:v>
                </c:pt>
                <c:pt idx="218">
                  <c:v>#N/A</c:v>
                </c:pt>
                <c:pt idx="219">
                  <c:v>#N/A</c:v>
                </c:pt>
                <c:pt idx="220">
                  <c:v>#N/A</c:v>
                </c:pt>
                <c:pt idx="221">
                  <c:v>#N/A</c:v>
                </c:pt>
                <c:pt idx="222">
                  <c:v>#N/A</c:v>
                </c:pt>
                <c:pt idx="223">
                  <c:v>#N/A</c:v>
                </c:pt>
                <c:pt idx="224">
                  <c:v>#N/A</c:v>
                </c:pt>
                <c:pt idx="225">
                  <c:v>#N/A</c:v>
                </c:pt>
                <c:pt idx="226">
                  <c:v>#N/A</c:v>
                </c:pt>
                <c:pt idx="227">
                  <c:v>#N/A</c:v>
                </c:pt>
                <c:pt idx="228">
                  <c:v>#N/A</c:v>
                </c:pt>
                <c:pt idx="229">
                  <c:v>#N/A</c:v>
                </c:pt>
                <c:pt idx="230">
                  <c:v>#N/A</c:v>
                </c:pt>
                <c:pt idx="231">
                  <c:v>#N/A</c:v>
                </c:pt>
                <c:pt idx="232">
                  <c:v>#N/A</c:v>
                </c:pt>
                <c:pt idx="233">
                  <c:v>#N/A</c:v>
                </c:pt>
                <c:pt idx="234">
                  <c:v>#N/A</c:v>
                </c:pt>
                <c:pt idx="235">
                  <c:v>#N/A</c:v>
                </c:pt>
                <c:pt idx="236">
                  <c:v>#N/A</c:v>
                </c:pt>
                <c:pt idx="237">
                  <c:v>#N/A</c:v>
                </c:pt>
                <c:pt idx="238">
                  <c:v>#N/A</c:v>
                </c:pt>
                <c:pt idx="239">
                  <c:v>#N/A</c:v>
                </c:pt>
                <c:pt idx="240">
                  <c:v>#N/A</c:v>
                </c:pt>
                <c:pt idx="241">
                  <c:v>#N/A</c:v>
                </c:pt>
                <c:pt idx="242">
                  <c:v>#N/A</c:v>
                </c:pt>
                <c:pt idx="243">
                  <c:v>#N/A</c:v>
                </c:pt>
                <c:pt idx="244">
                  <c:v>#N/A</c:v>
                </c:pt>
                <c:pt idx="245">
                  <c:v>#N/A</c:v>
                </c:pt>
                <c:pt idx="246">
                  <c:v>#N/A</c:v>
                </c:pt>
                <c:pt idx="247">
                  <c:v>#N/A</c:v>
                </c:pt>
                <c:pt idx="248">
                  <c:v>#N/A</c:v>
                </c:pt>
                <c:pt idx="249">
                  <c:v>#N/A</c:v>
                </c:pt>
                <c:pt idx="250">
                  <c:v>#N/A</c:v>
                </c:pt>
                <c:pt idx="251">
                  <c:v>#N/A</c:v>
                </c:pt>
                <c:pt idx="252">
                  <c:v>#N/A</c:v>
                </c:pt>
                <c:pt idx="253">
                  <c:v>#N/A</c:v>
                </c:pt>
                <c:pt idx="254">
                  <c:v>#N/A</c:v>
                </c:pt>
                <c:pt idx="255">
                  <c:v>#N/A</c:v>
                </c:pt>
                <c:pt idx="256">
                  <c:v>#N/A</c:v>
                </c:pt>
                <c:pt idx="257">
                  <c:v>#N/A</c:v>
                </c:pt>
                <c:pt idx="258">
                  <c:v>#N/A</c:v>
                </c:pt>
                <c:pt idx="259">
                  <c:v>#N/A</c:v>
                </c:pt>
                <c:pt idx="260">
                  <c:v>#N/A</c:v>
                </c:pt>
                <c:pt idx="261">
                  <c:v>#N/A</c:v>
                </c:pt>
                <c:pt idx="262">
                  <c:v>#N/A</c:v>
                </c:pt>
                <c:pt idx="263">
                  <c:v>#N/A</c:v>
                </c:pt>
                <c:pt idx="264">
                  <c:v>#N/A</c:v>
                </c:pt>
                <c:pt idx="265">
                  <c:v>#N/A</c:v>
                </c:pt>
                <c:pt idx="266">
                  <c:v>#N/A</c:v>
                </c:pt>
                <c:pt idx="267">
                  <c:v>#N/A</c:v>
                </c:pt>
                <c:pt idx="268">
                  <c:v>#N/A</c:v>
                </c:pt>
                <c:pt idx="269">
                  <c:v>#N/A</c:v>
                </c:pt>
                <c:pt idx="270">
                  <c:v>#N/A</c:v>
                </c:pt>
                <c:pt idx="271">
                  <c:v>#N/A</c:v>
                </c:pt>
                <c:pt idx="272">
                  <c:v>#N/A</c:v>
                </c:pt>
                <c:pt idx="273">
                  <c:v>#N/A</c:v>
                </c:pt>
                <c:pt idx="274">
                  <c:v>#N/A</c:v>
                </c:pt>
                <c:pt idx="275">
                  <c:v>#N/A</c:v>
                </c:pt>
                <c:pt idx="276">
                  <c:v>#N/A</c:v>
                </c:pt>
                <c:pt idx="277">
                  <c:v>#N/A</c:v>
                </c:pt>
                <c:pt idx="279">
                  <c:v>134.315</c:v>
                </c:pt>
                <c:pt idx="280">
                  <c:v>132.71</c:v>
                </c:pt>
                <c:pt idx="281">
                  <c:v>130.66499999999999</c:v>
                </c:pt>
                <c:pt idx="282">
                  <c:v>129.93</c:v>
                </c:pt>
                <c:pt idx="283">
                  <c:v>129.13999999999999</c:v>
                </c:pt>
                <c:pt idx="284">
                  <c:v>128.66499999999999</c:v>
                </c:pt>
                <c:pt idx="285">
                  <c:v>128.315</c:v>
                </c:pt>
                <c:pt idx="286">
                  <c:v>128.16499999999999</c:v>
                </c:pt>
                <c:pt idx="287">
                  <c:v>128.565</c:v>
                </c:pt>
                <c:pt idx="288">
                  <c:v>128.71</c:v>
                </c:pt>
                <c:pt idx="289">
                  <c:v>127.935</c:v>
                </c:pt>
                <c:pt idx="290">
                  <c:v>127.66500000000001</c:v>
                </c:pt>
                <c:pt idx="291">
                  <c:v>122.01</c:v>
                </c:pt>
                <c:pt idx="292">
                  <c:v>66.81</c:v>
                </c:pt>
                <c:pt idx="293">
                  <c:v>61.534999999999997</c:v>
                </c:pt>
                <c:pt idx="294">
                  <c:v>61.585000000000001</c:v>
                </c:pt>
                <c:pt idx="295">
                  <c:v>60.83</c:v>
                </c:pt>
                <c:pt idx="296">
                  <c:v>60.89</c:v>
                </c:pt>
                <c:pt idx="297">
                  <c:v>60.765000000000001</c:v>
                </c:pt>
                <c:pt idx="298">
                  <c:v>61.26</c:v>
                </c:pt>
                <c:pt idx="299">
                  <c:v>62.47</c:v>
                </c:pt>
                <c:pt idx="300">
                  <c:v>62.63</c:v>
                </c:pt>
                <c:pt idx="301">
                  <c:v>62.145000000000003</c:v>
                </c:pt>
                <c:pt idx="302">
                  <c:v>61.884999999999998</c:v>
                </c:pt>
                <c:pt idx="303">
                  <c:v>59.58</c:v>
                </c:pt>
                <c:pt idx="304">
                  <c:v>46.965000000000003</c:v>
                </c:pt>
                <c:pt idx="305">
                  <c:v>42.255000000000003</c:v>
                </c:pt>
                <c:pt idx="306">
                  <c:v>41.05</c:v>
                </c:pt>
                <c:pt idx="307">
                  <c:v>42.28</c:v>
                </c:pt>
                <c:pt idx="308">
                  <c:v>42.134999999999998</c:v>
                </c:pt>
                <c:pt idx="309">
                  <c:v>42.8</c:v>
                </c:pt>
                <c:pt idx="310">
                  <c:v>43.445</c:v>
                </c:pt>
                <c:pt idx="311">
                  <c:v>44.195</c:v>
                </c:pt>
                <c:pt idx="312">
                  <c:v>44.195</c:v>
                </c:pt>
                <c:pt idx="313">
                  <c:v>44.594999999999999</c:v>
                </c:pt>
                <c:pt idx="314">
                  <c:v>44.115000000000002</c:v>
                </c:pt>
                <c:pt idx="315">
                  <c:v>42.12</c:v>
                </c:pt>
                <c:pt idx="316">
                  <c:v>33.619999999999997</c:v>
                </c:pt>
                <c:pt idx="317">
                  <c:v>32.979999999999997</c:v>
                </c:pt>
                <c:pt idx="318">
                  <c:v>32.31</c:v>
                </c:pt>
                <c:pt idx="319">
                  <c:v>31.844999999999999</c:v>
                </c:pt>
                <c:pt idx="320">
                  <c:v>32.075000000000003</c:v>
                </c:pt>
                <c:pt idx="321">
                  <c:v>32.380000000000003</c:v>
                </c:pt>
                <c:pt idx="322">
                  <c:v>32.494999999999997</c:v>
                </c:pt>
                <c:pt idx="323">
                  <c:v>32.97</c:v>
                </c:pt>
                <c:pt idx="324">
                  <c:v>33.549999999999997</c:v>
                </c:pt>
                <c:pt idx="325">
                  <c:v>33.634999999999998</c:v>
                </c:pt>
                <c:pt idx="326">
                  <c:v>32.99</c:v>
                </c:pt>
                <c:pt idx="327">
                  <c:v>32.53</c:v>
                </c:pt>
                <c:pt idx="328">
                  <c:v>25.795000000000002</c:v>
                </c:pt>
                <c:pt idx="329">
                  <c:v>24.83</c:v>
                </c:pt>
                <c:pt idx="330">
                  <c:v>24.364999999999998</c:v>
                </c:pt>
                <c:pt idx="331">
                  <c:v>24.01</c:v>
                </c:pt>
                <c:pt idx="332">
                  <c:v>24.34</c:v>
                </c:pt>
                <c:pt idx="333">
                  <c:v>24.95</c:v>
                </c:pt>
                <c:pt idx="334">
                  <c:v>25.524999999999999</c:v>
                </c:pt>
                <c:pt idx="335">
                  <c:v>26.164999999999999</c:v>
                </c:pt>
                <c:pt idx="336">
                  <c:v>26.745000000000001</c:v>
                </c:pt>
                <c:pt idx="337">
                  <c:v>26.89</c:v>
                </c:pt>
                <c:pt idx="338">
                  <c:v>26.36</c:v>
                </c:pt>
                <c:pt idx="339">
                  <c:v>25.905000000000001</c:v>
                </c:pt>
                <c:pt idx="340">
                  <c:v>24.77</c:v>
                </c:pt>
                <c:pt idx="341">
                  <c:v>24.39</c:v>
                </c:pt>
                <c:pt idx="342">
                  <c:v>#N/A</c:v>
                </c:pt>
                <c:pt idx="343">
                  <c:v>#N/A</c:v>
                </c:pt>
                <c:pt idx="344">
                  <c:v>#N/A</c:v>
                </c:pt>
                <c:pt idx="345">
                  <c:v>#N/A</c:v>
                </c:pt>
                <c:pt idx="346">
                  <c:v>#N/A</c:v>
                </c:pt>
                <c:pt idx="347">
                  <c:v>#N/A</c:v>
                </c:pt>
                <c:pt idx="348">
                  <c:v>#N/A</c:v>
                </c:pt>
              </c:numCache>
            </c:numRef>
          </c:val>
          <c:smooth val="0"/>
          <c:extLst>
            <c:ext xmlns:c16="http://schemas.microsoft.com/office/drawing/2014/chart" uri="{C3380CC4-5D6E-409C-BE32-E72D297353CC}">
              <c16:uniqueId val="{00000001-4BD5-45CF-8859-87DDDA9E178B}"/>
            </c:ext>
          </c:extLst>
        </c:ser>
        <c:ser>
          <c:idx val="2"/>
          <c:order val="2"/>
          <c:tx>
            <c:strRef>
              <c:f>GAAS!$K$2</c:f>
              <c:strCache>
                <c:ptCount val="1"/>
                <c:pt idx="0">
                  <c:v>Futuurid 06.03.2022</c:v>
                </c:pt>
              </c:strCache>
            </c:strRef>
          </c:tx>
          <c:spPr>
            <a:ln w="28575" cap="rnd">
              <a:solidFill>
                <a:schemeClr val="accent3"/>
              </a:solidFill>
              <a:prstDash val="sysDash"/>
              <a:round/>
            </a:ln>
            <a:effectLst/>
          </c:spPr>
          <c:marker>
            <c:symbol val="none"/>
          </c:marker>
          <c:val>
            <c:numRef>
              <c:f>GAAS!$K$3:$K$351</c:f>
              <c:numCache>
                <c:formatCode>0.000</c:formatCode>
                <c:ptCount val="34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#N/A</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pt idx="200">
                  <c:v>#N/A</c:v>
                </c:pt>
                <c:pt idx="201">
                  <c:v>#N/A</c:v>
                </c:pt>
                <c:pt idx="202">
                  <c:v>#N/A</c:v>
                </c:pt>
                <c:pt idx="203">
                  <c:v>#N/A</c:v>
                </c:pt>
                <c:pt idx="204">
                  <c:v>#N/A</c:v>
                </c:pt>
                <c:pt idx="205">
                  <c:v>#N/A</c:v>
                </c:pt>
                <c:pt idx="206">
                  <c:v>#N/A</c:v>
                </c:pt>
                <c:pt idx="207">
                  <c:v>#N/A</c:v>
                </c:pt>
                <c:pt idx="208">
                  <c:v>#N/A</c:v>
                </c:pt>
                <c:pt idx="209">
                  <c:v>#N/A</c:v>
                </c:pt>
                <c:pt idx="210">
                  <c:v>#N/A</c:v>
                </c:pt>
                <c:pt idx="211">
                  <c:v>#N/A</c:v>
                </c:pt>
                <c:pt idx="212">
                  <c:v>#N/A</c:v>
                </c:pt>
                <c:pt idx="213">
                  <c:v>#N/A</c:v>
                </c:pt>
                <c:pt idx="214">
                  <c:v>#N/A</c:v>
                </c:pt>
                <c:pt idx="215">
                  <c:v>#N/A</c:v>
                </c:pt>
                <c:pt idx="216">
                  <c:v>#N/A</c:v>
                </c:pt>
                <c:pt idx="217">
                  <c:v>#N/A</c:v>
                </c:pt>
                <c:pt idx="218">
                  <c:v>#N/A</c:v>
                </c:pt>
                <c:pt idx="219">
                  <c:v>#N/A</c:v>
                </c:pt>
                <c:pt idx="220">
                  <c:v>#N/A</c:v>
                </c:pt>
                <c:pt idx="221">
                  <c:v>#N/A</c:v>
                </c:pt>
                <c:pt idx="222">
                  <c:v>#N/A</c:v>
                </c:pt>
                <c:pt idx="223">
                  <c:v>#N/A</c:v>
                </c:pt>
                <c:pt idx="224">
                  <c:v>#N/A</c:v>
                </c:pt>
                <c:pt idx="225">
                  <c:v>#N/A</c:v>
                </c:pt>
                <c:pt idx="226">
                  <c:v>#N/A</c:v>
                </c:pt>
                <c:pt idx="227">
                  <c:v>#N/A</c:v>
                </c:pt>
                <c:pt idx="228">
                  <c:v>#N/A</c:v>
                </c:pt>
                <c:pt idx="229">
                  <c:v>#N/A</c:v>
                </c:pt>
                <c:pt idx="230">
                  <c:v>#N/A</c:v>
                </c:pt>
                <c:pt idx="231">
                  <c:v>#N/A</c:v>
                </c:pt>
                <c:pt idx="232">
                  <c:v>#N/A</c:v>
                </c:pt>
                <c:pt idx="233">
                  <c:v>#N/A</c:v>
                </c:pt>
                <c:pt idx="234">
                  <c:v>#N/A</c:v>
                </c:pt>
                <c:pt idx="235">
                  <c:v>#N/A</c:v>
                </c:pt>
                <c:pt idx="236">
                  <c:v>#N/A</c:v>
                </c:pt>
                <c:pt idx="237">
                  <c:v>#N/A</c:v>
                </c:pt>
                <c:pt idx="238">
                  <c:v>#N/A</c:v>
                </c:pt>
                <c:pt idx="239">
                  <c:v>#N/A</c:v>
                </c:pt>
                <c:pt idx="240">
                  <c:v>#N/A</c:v>
                </c:pt>
                <c:pt idx="241">
                  <c:v>#N/A</c:v>
                </c:pt>
                <c:pt idx="242">
                  <c:v>#N/A</c:v>
                </c:pt>
                <c:pt idx="243">
                  <c:v>#N/A</c:v>
                </c:pt>
                <c:pt idx="244">
                  <c:v>#N/A</c:v>
                </c:pt>
                <c:pt idx="245">
                  <c:v>#N/A</c:v>
                </c:pt>
                <c:pt idx="246">
                  <c:v>#N/A</c:v>
                </c:pt>
                <c:pt idx="247">
                  <c:v>#N/A</c:v>
                </c:pt>
                <c:pt idx="248">
                  <c:v>#N/A</c:v>
                </c:pt>
                <c:pt idx="249">
                  <c:v>#N/A</c:v>
                </c:pt>
                <c:pt idx="250">
                  <c:v>#N/A</c:v>
                </c:pt>
                <c:pt idx="251">
                  <c:v>#N/A</c:v>
                </c:pt>
                <c:pt idx="252">
                  <c:v>#N/A</c:v>
                </c:pt>
                <c:pt idx="253">
                  <c:v>#N/A</c:v>
                </c:pt>
                <c:pt idx="254">
                  <c:v>#N/A</c:v>
                </c:pt>
                <c:pt idx="255">
                  <c:v>#N/A</c:v>
                </c:pt>
                <c:pt idx="256">
                  <c:v>#N/A</c:v>
                </c:pt>
                <c:pt idx="257">
                  <c:v>#N/A</c:v>
                </c:pt>
                <c:pt idx="258">
                  <c:v>#N/A</c:v>
                </c:pt>
                <c:pt idx="259">
                  <c:v>#N/A</c:v>
                </c:pt>
                <c:pt idx="260">
                  <c:v>#N/A</c:v>
                </c:pt>
                <c:pt idx="261">
                  <c:v>#N/A</c:v>
                </c:pt>
                <c:pt idx="262">
                  <c:v>#N/A</c:v>
                </c:pt>
                <c:pt idx="263">
                  <c:v>#N/A</c:v>
                </c:pt>
                <c:pt idx="264">
                  <c:v>#N/A</c:v>
                </c:pt>
                <c:pt idx="265">
                  <c:v>#N/A</c:v>
                </c:pt>
                <c:pt idx="266">
                  <c:v>#N/A</c:v>
                </c:pt>
                <c:pt idx="267">
                  <c:v>#N/A</c:v>
                </c:pt>
                <c:pt idx="268">
                  <c:v>#N/A</c:v>
                </c:pt>
                <c:pt idx="269">
                  <c:v>#N/A</c:v>
                </c:pt>
                <c:pt idx="270">
                  <c:v>#N/A</c:v>
                </c:pt>
                <c:pt idx="271">
                  <c:v>#N/A</c:v>
                </c:pt>
                <c:pt idx="272">
                  <c:v>#N/A</c:v>
                </c:pt>
                <c:pt idx="273">
                  <c:v>#N/A</c:v>
                </c:pt>
                <c:pt idx="274">
                  <c:v>#N/A</c:v>
                </c:pt>
                <c:pt idx="275">
                  <c:v>#N/A</c:v>
                </c:pt>
                <c:pt idx="276">
                  <c:v>#N/A</c:v>
                </c:pt>
                <c:pt idx="277">
                  <c:v>#N/A</c:v>
                </c:pt>
                <c:pt idx="278">
                  <c:v>#N/A</c:v>
                </c:pt>
                <c:pt idx="279">
                  <c:v>#N/A</c:v>
                </c:pt>
                <c:pt idx="280">
                  <c:v>192.55</c:v>
                </c:pt>
                <c:pt idx="281">
                  <c:v>186.42500000000001</c:v>
                </c:pt>
                <c:pt idx="282">
                  <c:v>184.11500000000001</c:v>
                </c:pt>
                <c:pt idx="283">
                  <c:v>182.33</c:v>
                </c:pt>
                <c:pt idx="284">
                  <c:v>176.25</c:v>
                </c:pt>
                <c:pt idx="285">
                  <c:v>172.99</c:v>
                </c:pt>
                <c:pt idx="286">
                  <c:v>153.49</c:v>
                </c:pt>
                <c:pt idx="287">
                  <c:v>144.99</c:v>
                </c:pt>
                <c:pt idx="288">
                  <c:v>131.26</c:v>
                </c:pt>
                <c:pt idx="289">
                  <c:v>121.595</c:v>
                </c:pt>
                <c:pt idx="290">
                  <c:v>111.505</c:v>
                </c:pt>
                <c:pt idx="291">
                  <c:v>94.004999999999995</c:v>
                </c:pt>
                <c:pt idx="292">
                  <c:v>74.004999999999995</c:v>
                </c:pt>
                <c:pt idx="293">
                  <c:v>66.905000000000001</c:v>
                </c:pt>
                <c:pt idx="294">
                  <c:v>65.430000000000007</c:v>
                </c:pt>
                <c:pt idx="295">
                  <c:v>63.98</c:v>
                </c:pt>
                <c:pt idx="296">
                  <c:v>63.13</c:v>
                </c:pt>
                <c:pt idx="297">
                  <c:v>62.65</c:v>
                </c:pt>
                <c:pt idx="298">
                  <c:v>61.265000000000001</c:v>
                </c:pt>
                <c:pt idx="299">
                  <c:v>61.37</c:v>
                </c:pt>
                <c:pt idx="300">
                  <c:v>61.47</c:v>
                </c:pt>
                <c:pt idx="301">
                  <c:v>59.475000000000001</c:v>
                </c:pt>
                <c:pt idx="302">
                  <c:v>59.215000000000003</c:v>
                </c:pt>
                <c:pt idx="303">
                  <c:v>56.76</c:v>
                </c:pt>
                <c:pt idx="304">
                  <c:v>51.45</c:v>
                </c:pt>
                <c:pt idx="305">
                  <c:v>46.8</c:v>
                </c:pt>
                <c:pt idx="306">
                  <c:v>45.454999999999998</c:v>
                </c:pt>
                <c:pt idx="307">
                  <c:v>45.935000000000002</c:v>
                </c:pt>
                <c:pt idx="308">
                  <c:v>46.005000000000003</c:v>
                </c:pt>
                <c:pt idx="309">
                  <c:v>46.204999999999998</c:v>
                </c:pt>
                <c:pt idx="310">
                  <c:v>46.8</c:v>
                </c:pt>
                <c:pt idx="311">
                  <c:v>47.4</c:v>
                </c:pt>
                <c:pt idx="312">
                  <c:v>47.1</c:v>
                </c:pt>
                <c:pt idx="313">
                  <c:v>45.555</c:v>
                </c:pt>
                <c:pt idx="314">
                  <c:v>44.555</c:v>
                </c:pt>
                <c:pt idx="315">
                  <c:v>42.225000000000001</c:v>
                </c:pt>
                <c:pt idx="316">
                  <c:v>36.93</c:v>
                </c:pt>
                <c:pt idx="317">
                  <c:v>35.854999999999997</c:v>
                </c:pt>
                <c:pt idx="318">
                  <c:v>35.085000000000001</c:v>
                </c:pt>
                <c:pt idx="319">
                  <c:v>34.505000000000003</c:v>
                </c:pt>
                <c:pt idx="320">
                  <c:v>34.664999999999999</c:v>
                </c:pt>
                <c:pt idx="321">
                  <c:v>35.08</c:v>
                </c:pt>
                <c:pt idx="322">
                  <c:v>33.155000000000001</c:v>
                </c:pt>
                <c:pt idx="323">
                  <c:v>33.630000000000003</c:v>
                </c:pt>
                <c:pt idx="324">
                  <c:v>33.630000000000003</c:v>
                </c:pt>
                <c:pt idx="325">
                  <c:v>32.61</c:v>
                </c:pt>
                <c:pt idx="326">
                  <c:v>32.71</c:v>
                </c:pt>
                <c:pt idx="327">
                  <c:v>32.840000000000003</c:v>
                </c:pt>
                <c:pt idx="328">
                  <c:v>27.05</c:v>
                </c:pt>
                <c:pt idx="329">
                  <c:v>26.1</c:v>
                </c:pt>
                <c:pt idx="330">
                  <c:v>25.635000000000002</c:v>
                </c:pt>
                <c:pt idx="331">
                  <c:v>25.28</c:v>
                </c:pt>
                <c:pt idx="332">
                  <c:v>25.61</c:v>
                </c:pt>
                <c:pt idx="333">
                  <c:v>26.22</c:v>
                </c:pt>
                <c:pt idx="334">
                  <c:v>26.795000000000002</c:v>
                </c:pt>
                <c:pt idx="335">
                  <c:v>27.434999999999999</c:v>
                </c:pt>
                <c:pt idx="336">
                  <c:v>28.004999999999999</c:v>
                </c:pt>
                <c:pt idx="337">
                  <c:v>26.984999999999999</c:v>
                </c:pt>
                <c:pt idx="338">
                  <c:v>26.49</c:v>
                </c:pt>
                <c:pt idx="339">
                  <c:v>25.96</c:v>
                </c:pt>
                <c:pt idx="340">
                  <c:v>24.734999999999999</c:v>
                </c:pt>
                <c:pt idx="341">
                  <c:v>24.285</c:v>
                </c:pt>
                <c:pt idx="342">
                  <c:v>23.984999999999999</c:v>
                </c:pt>
                <c:pt idx="343">
                  <c:v>23.68</c:v>
                </c:pt>
                <c:pt idx="344">
                  <c:v>23.85</c:v>
                </c:pt>
                <c:pt idx="345">
                  <c:v>24.24</c:v>
                </c:pt>
                <c:pt idx="346">
                  <c:v>24.93</c:v>
                </c:pt>
                <c:pt idx="347">
                  <c:v>25.375</c:v>
                </c:pt>
                <c:pt idx="348">
                  <c:v>25.51</c:v>
                </c:pt>
              </c:numCache>
            </c:numRef>
          </c:val>
          <c:smooth val="0"/>
          <c:extLst>
            <c:ext xmlns:c16="http://schemas.microsoft.com/office/drawing/2014/chart" uri="{C3380CC4-5D6E-409C-BE32-E72D297353CC}">
              <c16:uniqueId val="{00000002-4BD5-45CF-8859-87DDDA9E178B}"/>
            </c:ext>
          </c:extLst>
        </c:ser>
        <c:ser>
          <c:idx val="5"/>
          <c:order val="3"/>
          <c:tx>
            <c:strRef>
              <c:f>GAAS!$G$2</c:f>
              <c:strCache>
                <c:ptCount val="1"/>
                <c:pt idx="0">
                  <c:v>Futuurid 23.03.2022</c:v>
                </c:pt>
              </c:strCache>
            </c:strRef>
          </c:tx>
          <c:spPr>
            <a:ln w="28575" cap="rnd">
              <a:solidFill>
                <a:schemeClr val="accent4"/>
              </a:solidFill>
              <a:prstDash val="sysDash"/>
              <a:round/>
            </a:ln>
            <a:effectLst/>
          </c:spPr>
          <c:marker>
            <c:symbol val="none"/>
          </c:marker>
          <c:val>
            <c:numRef>
              <c:f>GAAS!$G$3:$G$339</c:f>
              <c:numCache>
                <c:formatCode>0.000</c:formatCode>
                <c:ptCount val="337"/>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#N/A</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pt idx="200">
                  <c:v>#N/A</c:v>
                </c:pt>
                <c:pt idx="201">
                  <c:v>#N/A</c:v>
                </c:pt>
                <c:pt idx="202">
                  <c:v>#N/A</c:v>
                </c:pt>
                <c:pt idx="203">
                  <c:v>#N/A</c:v>
                </c:pt>
                <c:pt idx="204">
                  <c:v>#N/A</c:v>
                </c:pt>
                <c:pt idx="205">
                  <c:v>#N/A</c:v>
                </c:pt>
                <c:pt idx="206">
                  <c:v>#N/A</c:v>
                </c:pt>
                <c:pt idx="207">
                  <c:v>#N/A</c:v>
                </c:pt>
                <c:pt idx="208">
                  <c:v>#N/A</c:v>
                </c:pt>
                <c:pt idx="209">
                  <c:v>#N/A</c:v>
                </c:pt>
                <c:pt idx="210">
                  <c:v>#N/A</c:v>
                </c:pt>
                <c:pt idx="211">
                  <c:v>#N/A</c:v>
                </c:pt>
                <c:pt idx="212">
                  <c:v>#N/A</c:v>
                </c:pt>
                <c:pt idx="213">
                  <c:v>#N/A</c:v>
                </c:pt>
                <c:pt idx="214">
                  <c:v>#N/A</c:v>
                </c:pt>
                <c:pt idx="215">
                  <c:v>#N/A</c:v>
                </c:pt>
                <c:pt idx="216">
                  <c:v>#N/A</c:v>
                </c:pt>
                <c:pt idx="217">
                  <c:v>#N/A</c:v>
                </c:pt>
                <c:pt idx="218">
                  <c:v>#N/A</c:v>
                </c:pt>
                <c:pt idx="219">
                  <c:v>#N/A</c:v>
                </c:pt>
                <c:pt idx="220">
                  <c:v>#N/A</c:v>
                </c:pt>
                <c:pt idx="221">
                  <c:v>#N/A</c:v>
                </c:pt>
                <c:pt idx="222">
                  <c:v>#N/A</c:v>
                </c:pt>
                <c:pt idx="223">
                  <c:v>#N/A</c:v>
                </c:pt>
                <c:pt idx="224">
                  <c:v>#N/A</c:v>
                </c:pt>
                <c:pt idx="225">
                  <c:v>#N/A</c:v>
                </c:pt>
                <c:pt idx="226">
                  <c:v>#N/A</c:v>
                </c:pt>
                <c:pt idx="227">
                  <c:v>#N/A</c:v>
                </c:pt>
                <c:pt idx="228">
                  <c:v>#N/A</c:v>
                </c:pt>
                <c:pt idx="229">
                  <c:v>#N/A</c:v>
                </c:pt>
                <c:pt idx="230">
                  <c:v>#N/A</c:v>
                </c:pt>
                <c:pt idx="231">
                  <c:v>#N/A</c:v>
                </c:pt>
                <c:pt idx="232">
                  <c:v>#N/A</c:v>
                </c:pt>
                <c:pt idx="233">
                  <c:v>#N/A</c:v>
                </c:pt>
                <c:pt idx="234">
                  <c:v>#N/A</c:v>
                </c:pt>
                <c:pt idx="235">
                  <c:v>#N/A</c:v>
                </c:pt>
                <c:pt idx="236">
                  <c:v>#N/A</c:v>
                </c:pt>
                <c:pt idx="237">
                  <c:v>#N/A</c:v>
                </c:pt>
                <c:pt idx="238">
                  <c:v>#N/A</c:v>
                </c:pt>
                <c:pt idx="239">
                  <c:v>#N/A</c:v>
                </c:pt>
                <c:pt idx="240">
                  <c:v>#N/A</c:v>
                </c:pt>
                <c:pt idx="241">
                  <c:v>#N/A</c:v>
                </c:pt>
                <c:pt idx="242">
                  <c:v>#N/A</c:v>
                </c:pt>
                <c:pt idx="243">
                  <c:v>#N/A</c:v>
                </c:pt>
                <c:pt idx="244">
                  <c:v>#N/A</c:v>
                </c:pt>
                <c:pt idx="245">
                  <c:v>#N/A</c:v>
                </c:pt>
                <c:pt idx="246">
                  <c:v>#N/A</c:v>
                </c:pt>
                <c:pt idx="247">
                  <c:v>#N/A</c:v>
                </c:pt>
                <c:pt idx="248">
                  <c:v>#N/A</c:v>
                </c:pt>
                <c:pt idx="249">
                  <c:v>#N/A</c:v>
                </c:pt>
                <c:pt idx="250">
                  <c:v>#N/A</c:v>
                </c:pt>
                <c:pt idx="251">
                  <c:v>#N/A</c:v>
                </c:pt>
                <c:pt idx="252">
                  <c:v>#N/A</c:v>
                </c:pt>
                <c:pt idx="253">
                  <c:v>#N/A</c:v>
                </c:pt>
                <c:pt idx="254">
                  <c:v>#N/A</c:v>
                </c:pt>
                <c:pt idx="255">
                  <c:v>#N/A</c:v>
                </c:pt>
                <c:pt idx="256">
                  <c:v>#N/A</c:v>
                </c:pt>
                <c:pt idx="257">
                  <c:v>#N/A</c:v>
                </c:pt>
                <c:pt idx="258">
                  <c:v>#N/A</c:v>
                </c:pt>
                <c:pt idx="259">
                  <c:v>#N/A</c:v>
                </c:pt>
                <c:pt idx="260">
                  <c:v>#N/A</c:v>
                </c:pt>
                <c:pt idx="261">
                  <c:v>#N/A</c:v>
                </c:pt>
                <c:pt idx="262">
                  <c:v>#N/A</c:v>
                </c:pt>
                <c:pt idx="263">
                  <c:v>#N/A</c:v>
                </c:pt>
                <c:pt idx="264">
                  <c:v>#N/A</c:v>
                </c:pt>
                <c:pt idx="265">
                  <c:v>#N/A</c:v>
                </c:pt>
                <c:pt idx="266">
                  <c:v>#N/A</c:v>
                </c:pt>
                <c:pt idx="267">
                  <c:v>#N/A</c:v>
                </c:pt>
                <c:pt idx="268">
                  <c:v>#N/A</c:v>
                </c:pt>
                <c:pt idx="269">
                  <c:v>#N/A</c:v>
                </c:pt>
                <c:pt idx="270">
                  <c:v>#N/A</c:v>
                </c:pt>
                <c:pt idx="271">
                  <c:v>#N/A</c:v>
                </c:pt>
                <c:pt idx="272">
                  <c:v>#N/A</c:v>
                </c:pt>
                <c:pt idx="273">
                  <c:v>#N/A</c:v>
                </c:pt>
                <c:pt idx="274">
                  <c:v>#N/A</c:v>
                </c:pt>
                <c:pt idx="275">
                  <c:v>#N/A</c:v>
                </c:pt>
                <c:pt idx="276">
                  <c:v>#N/A</c:v>
                </c:pt>
                <c:pt idx="277">
                  <c:v>#N/A</c:v>
                </c:pt>
                <c:pt idx="279">
                  <c:v>117</c:v>
                </c:pt>
                <c:pt idx="280">
                  <c:v>117.315</c:v>
                </c:pt>
                <c:pt idx="281">
                  <c:v>116.98</c:v>
                </c:pt>
                <c:pt idx="282">
                  <c:v>116.9</c:v>
                </c:pt>
                <c:pt idx="283">
                  <c:v>116.75</c:v>
                </c:pt>
                <c:pt idx="284">
                  <c:v>116.645</c:v>
                </c:pt>
                <c:pt idx="285">
                  <c:v>114.21</c:v>
                </c:pt>
                <c:pt idx="286">
                  <c:v>111.595</c:v>
                </c:pt>
                <c:pt idx="287">
                  <c:v>109.94499999999999</c:v>
                </c:pt>
                <c:pt idx="288">
                  <c:v>106.97499999999999</c:v>
                </c:pt>
                <c:pt idx="289">
                  <c:v>103.675</c:v>
                </c:pt>
                <c:pt idx="290">
                  <c:v>98.174999999999997</c:v>
                </c:pt>
                <c:pt idx="291">
                  <c:v>67.900000000000006</c:v>
                </c:pt>
                <c:pt idx="292">
                  <c:v>62.4</c:v>
                </c:pt>
                <c:pt idx="293">
                  <c:v>60.15</c:v>
                </c:pt>
                <c:pt idx="294">
                  <c:v>60.07</c:v>
                </c:pt>
                <c:pt idx="295">
                  <c:v>60.17</c:v>
                </c:pt>
                <c:pt idx="296">
                  <c:v>61.12</c:v>
                </c:pt>
                <c:pt idx="297">
                  <c:v>59.86</c:v>
                </c:pt>
                <c:pt idx="298">
                  <c:v>60.26</c:v>
                </c:pt>
                <c:pt idx="299">
                  <c:v>60.76</c:v>
                </c:pt>
                <c:pt idx="300">
                  <c:v>57.73</c:v>
                </c:pt>
                <c:pt idx="301">
                  <c:v>58.26</c:v>
                </c:pt>
                <c:pt idx="302">
                  <c:v>56.24</c:v>
                </c:pt>
                <c:pt idx="303">
                  <c:v>50.29</c:v>
                </c:pt>
                <c:pt idx="304">
                  <c:v>45.634999999999998</c:v>
                </c:pt>
                <c:pt idx="305">
                  <c:v>44.87</c:v>
                </c:pt>
                <c:pt idx="306">
                  <c:v>44.29</c:v>
                </c:pt>
                <c:pt idx="307">
                  <c:v>43.954999999999998</c:v>
                </c:pt>
                <c:pt idx="308">
                  <c:v>44.06</c:v>
                </c:pt>
                <c:pt idx="309">
                  <c:v>43.835000000000001</c:v>
                </c:pt>
                <c:pt idx="310">
                  <c:v>44.564999999999998</c:v>
                </c:pt>
                <c:pt idx="311">
                  <c:v>44.56</c:v>
                </c:pt>
                <c:pt idx="312">
                  <c:v>44.56</c:v>
                </c:pt>
                <c:pt idx="313">
                  <c:v>43.024999999999999</c:v>
                </c:pt>
                <c:pt idx="314">
                  <c:v>40.465000000000003</c:v>
                </c:pt>
                <c:pt idx="315">
                  <c:v>37.494999999999997</c:v>
                </c:pt>
                <c:pt idx="316">
                  <c:v>36.04</c:v>
                </c:pt>
                <c:pt idx="317">
                  <c:v>35.015000000000001</c:v>
                </c:pt>
                <c:pt idx="318">
                  <c:v>33.825000000000003</c:v>
                </c:pt>
                <c:pt idx="319">
                  <c:v>33.835000000000001</c:v>
                </c:pt>
                <c:pt idx="320">
                  <c:v>33.86</c:v>
                </c:pt>
                <c:pt idx="321">
                  <c:v>33.475000000000001</c:v>
                </c:pt>
                <c:pt idx="322">
                  <c:v>33.49</c:v>
                </c:pt>
                <c:pt idx="323">
                  <c:v>33.35</c:v>
                </c:pt>
                <c:pt idx="324">
                  <c:v>32.119999999999997</c:v>
                </c:pt>
                <c:pt idx="325">
                  <c:v>32.045000000000002</c:v>
                </c:pt>
                <c:pt idx="326">
                  <c:v>32.244999999999997</c:v>
                </c:pt>
                <c:pt idx="327">
                  <c:v>28.875</c:v>
                </c:pt>
                <c:pt idx="328">
                  <c:v>28.38</c:v>
                </c:pt>
                <c:pt idx="329">
                  <c:v>27.905000000000001</c:v>
                </c:pt>
                <c:pt idx="330">
                  <c:v>27.54</c:v>
                </c:pt>
                <c:pt idx="331">
                  <c:v>27.85</c:v>
                </c:pt>
                <c:pt idx="332">
                  <c:v>28.434999999999999</c:v>
                </c:pt>
                <c:pt idx="333">
                  <c:v>28.995000000000001</c:v>
                </c:pt>
                <c:pt idx="334">
                  <c:v>29.61</c:v>
                </c:pt>
                <c:pt idx="335">
                  <c:v>30.16</c:v>
                </c:pt>
              </c:numCache>
            </c:numRef>
          </c:val>
          <c:smooth val="0"/>
          <c:extLst>
            <c:ext xmlns:c16="http://schemas.microsoft.com/office/drawing/2014/chart" uri="{C3380CC4-5D6E-409C-BE32-E72D297353CC}">
              <c16:uniqueId val="{00000003-4BD5-45CF-8859-87DDDA9E178B}"/>
            </c:ext>
          </c:extLst>
        </c:ser>
        <c:dLbls>
          <c:showLegendKey val="0"/>
          <c:showVal val="0"/>
          <c:showCatName val="0"/>
          <c:showSerName val="0"/>
          <c:showPercent val="0"/>
          <c:showBubbleSize val="0"/>
        </c:dLbls>
        <c:smooth val="0"/>
        <c:axId val="1734748416"/>
        <c:axId val="1734754240"/>
      </c:lineChart>
      <c:dateAx>
        <c:axId val="1734748416"/>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Roboto Condensed" panose="02000000000000000000" pitchFamily="2" charset="0"/>
                <a:ea typeface="Roboto Condensed" panose="02000000000000000000" pitchFamily="2" charset="0"/>
                <a:cs typeface="+mn-cs"/>
              </a:defRPr>
            </a:pPr>
            <a:endParaRPr lang="et-EE"/>
          </a:p>
        </c:txPr>
        <c:crossAx val="1734754240"/>
        <c:crosses val="autoZero"/>
        <c:auto val="1"/>
        <c:lblOffset val="100"/>
        <c:baseTimeUnit val="months"/>
        <c:majorUnit val="2"/>
        <c:majorTimeUnit val="years"/>
      </c:dateAx>
      <c:valAx>
        <c:axId val="173475424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Roboto Condensed" panose="02000000000000000000" pitchFamily="2" charset="0"/>
                <a:ea typeface="Roboto Condensed" panose="02000000000000000000" pitchFamily="2" charset="0"/>
                <a:cs typeface="+mn-cs"/>
              </a:defRPr>
            </a:pPr>
            <a:endParaRPr lang="et-EE"/>
          </a:p>
        </c:txPr>
        <c:crossAx val="1734748416"/>
        <c:crosses val="autoZero"/>
        <c:crossBetween val="between"/>
      </c:valAx>
      <c:spPr>
        <a:noFill/>
        <a:ln>
          <a:noFill/>
        </a:ln>
        <a:effectLst/>
      </c:spPr>
    </c:plotArea>
    <c:legend>
      <c:legendPos val="r"/>
      <c:layout>
        <c:manualLayout>
          <c:xMode val="edge"/>
          <c:yMode val="edge"/>
          <c:x val="9.0626098922100759E-2"/>
          <c:y val="4.3878901375640197E-2"/>
          <c:w val="0.60918414324423042"/>
          <c:h val="0.2691444677063413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Roboto Condensed" panose="02000000000000000000" pitchFamily="2" charset="0"/>
              <a:ea typeface="Roboto Condensed" panose="02000000000000000000" pitchFamily="2" charset="0"/>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Roboto Condensed" panose="02000000000000000000" pitchFamily="2" charset="0"/>
          <a:ea typeface="Roboto Condensed" panose="02000000000000000000" pitchFamily="2" charset="0"/>
        </a:defRPr>
      </a:pPr>
      <a:endParaRPr lang="et-EE"/>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60220406391259"/>
          <c:y val="5.7751856815770372E-2"/>
          <c:w val="0.86729325509125732"/>
          <c:h val="0.83770034064890819"/>
        </c:manualLayout>
      </c:layout>
      <c:lineChart>
        <c:grouping val="standard"/>
        <c:varyColors val="0"/>
        <c:ser>
          <c:idx val="1"/>
          <c:order val="0"/>
          <c:tx>
            <c:strRef>
              <c:f>TarbijaKindlustunne!$C$1</c:f>
              <c:strCache>
                <c:ptCount val="1"/>
                <c:pt idx="0">
                  <c:v>Euroopa Liit</c:v>
                </c:pt>
              </c:strCache>
            </c:strRef>
          </c:tx>
          <c:spPr>
            <a:ln w="28575" cap="rnd">
              <a:solidFill>
                <a:schemeClr val="accent2"/>
              </a:solidFill>
              <a:round/>
            </a:ln>
            <a:effectLst/>
          </c:spPr>
          <c:marker>
            <c:symbol val="none"/>
          </c:marker>
          <c:cat>
            <c:numRef>
              <c:f>TarbijaKindlustunne!$A$2:$A$300</c:f>
              <c:numCache>
                <c:formatCode>m/d/yyyy</c:formatCode>
                <c:ptCount val="299"/>
                <c:pt idx="0">
                  <c:v>36556</c:v>
                </c:pt>
                <c:pt idx="1">
                  <c:v>36585</c:v>
                </c:pt>
                <c:pt idx="2">
                  <c:v>36616</c:v>
                </c:pt>
                <c:pt idx="3">
                  <c:v>36646</c:v>
                </c:pt>
                <c:pt idx="4">
                  <c:v>36677</c:v>
                </c:pt>
                <c:pt idx="5">
                  <c:v>36707</c:v>
                </c:pt>
                <c:pt idx="6">
                  <c:v>36738</c:v>
                </c:pt>
                <c:pt idx="7">
                  <c:v>36769</c:v>
                </c:pt>
                <c:pt idx="8">
                  <c:v>36799</c:v>
                </c:pt>
                <c:pt idx="9">
                  <c:v>36830</c:v>
                </c:pt>
                <c:pt idx="10">
                  <c:v>36860</c:v>
                </c:pt>
                <c:pt idx="11">
                  <c:v>36891</c:v>
                </c:pt>
                <c:pt idx="12">
                  <c:v>36922</c:v>
                </c:pt>
                <c:pt idx="13">
                  <c:v>36950</c:v>
                </c:pt>
                <c:pt idx="14">
                  <c:v>36981</c:v>
                </c:pt>
                <c:pt idx="15">
                  <c:v>37011</c:v>
                </c:pt>
                <c:pt idx="16">
                  <c:v>37042</c:v>
                </c:pt>
                <c:pt idx="17">
                  <c:v>37072</c:v>
                </c:pt>
                <c:pt idx="18">
                  <c:v>37103</c:v>
                </c:pt>
                <c:pt idx="19">
                  <c:v>37134</c:v>
                </c:pt>
                <c:pt idx="20">
                  <c:v>37164</c:v>
                </c:pt>
                <c:pt idx="21">
                  <c:v>37195</c:v>
                </c:pt>
                <c:pt idx="22">
                  <c:v>37225</c:v>
                </c:pt>
                <c:pt idx="23">
                  <c:v>37256</c:v>
                </c:pt>
                <c:pt idx="24">
                  <c:v>37287</c:v>
                </c:pt>
                <c:pt idx="25">
                  <c:v>37315</c:v>
                </c:pt>
                <c:pt idx="26">
                  <c:v>37346</c:v>
                </c:pt>
                <c:pt idx="27">
                  <c:v>37376</c:v>
                </c:pt>
                <c:pt idx="28">
                  <c:v>37407</c:v>
                </c:pt>
                <c:pt idx="29">
                  <c:v>37437</c:v>
                </c:pt>
                <c:pt idx="30">
                  <c:v>37468</c:v>
                </c:pt>
                <c:pt idx="31">
                  <c:v>37499</c:v>
                </c:pt>
                <c:pt idx="32">
                  <c:v>37529</c:v>
                </c:pt>
                <c:pt idx="33">
                  <c:v>37560</c:v>
                </c:pt>
                <c:pt idx="34">
                  <c:v>37590</c:v>
                </c:pt>
                <c:pt idx="35">
                  <c:v>37621</c:v>
                </c:pt>
                <c:pt idx="36">
                  <c:v>37652</c:v>
                </c:pt>
                <c:pt idx="37">
                  <c:v>37680</c:v>
                </c:pt>
                <c:pt idx="38">
                  <c:v>37711</c:v>
                </c:pt>
                <c:pt idx="39">
                  <c:v>37741</c:v>
                </c:pt>
                <c:pt idx="40">
                  <c:v>37772</c:v>
                </c:pt>
                <c:pt idx="41">
                  <c:v>37802</c:v>
                </c:pt>
                <c:pt idx="42">
                  <c:v>37833</c:v>
                </c:pt>
                <c:pt idx="43">
                  <c:v>37864</c:v>
                </c:pt>
                <c:pt idx="44">
                  <c:v>37894</c:v>
                </c:pt>
                <c:pt idx="45">
                  <c:v>37925</c:v>
                </c:pt>
                <c:pt idx="46">
                  <c:v>37955</c:v>
                </c:pt>
                <c:pt idx="47">
                  <c:v>37986</c:v>
                </c:pt>
                <c:pt idx="48">
                  <c:v>38017</c:v>
                </c:pt>
                <c:pt idx="49">
                  <c:v>38046</c:v>
                </c:pt>
                <c:pt idx="50">
                  <c:v>38077</c:v>
                </c:pt>
                <c:pt idx="51">
                  <c:v>38107</c:v>
                </c:pt>
                <c:pt idx="52">
                  <c:v>38138</c:v>
                </c:pt>
                <c:pt idx="53">
                  <c:v>38168</c:v>
                </c:pt>
                <c:pt idx="54">
                  <c:v>38199</c:v>
                </c:pt>
                <c:pt idx="55">
                  <c:v>38230</c:v>
                </c:pt>
                <c:pt idx="56">
                  <c:v>38260</c:v>
                </c:pt>
                <c:pt idx="57">
                  <c:v>38291</c:v>
                </c:pt>
                <c:pt idx="58">
                  <c:v>38321</c:v>
                </c:pt>
                <c:pt idx="59">
                  <c:v>38352</c:v>
                </c:pt>
                <c:pt idx="60">
                  <c:v>38383</c:v>
                </c:pt>
                <c:pt idx="61">
                  <c:v>38411</c:v>
                </c:pt>
                <c:pt idx="62">
                  <c:v>38442</c:v>
                </c:pt>
                <c:pt idx="63">
                  <c:v>38472</c:v>
                </c:pt>
                <c:pt idx="64">
                  <c:v>38503</c:v>
                </c:pt>
                <c:pt idx="65">
                  <c:v>38533</c:v>
                </c:pt>
                <c:pt idx="66">
                  <c:v>38564</c:v>
                </c:pt>
                <c:pt idx="67">
                  <c:v>38595</c:v>
                </c:pt>
                <c:pt idx="68">
                  <c:v>38625</c:v>
                </c:pt>
                <c:pt idx="69">
                  <c:v>38656</c:v>
                </c:pt>
                <c:pt idx="70">
                  <c:v>38686</c:v>
                </c:pt>
                <c:pt idx="71">
                  <c:v>38717</c:v>
                </c:pt>
                <c:pt idx="72">
                  <c:v>38748</c:v>
                </c:pt>
                <c:pt idx="73">
                  <c:v>38776</c:v>
                </c:pt>
                <c:pt idx="74">
                  <c:v>38807</c:v>
                </c:pt>
                <c:pt idx="75">
                  <c:v>38837</c:v>
                </c:pt>
                <c:pt idx="76">
                  <c:v>38868</c:v>
                </c:pt>
                <c:pt idx="77">
                  <c:v>38898</c:v>
                </c:pt>
                <c:pt idx="78">
                  <c:v>38929</c:v>
                </c:pt>
                <c:pt idx="79">
                  <c:v>38960</c:v>
                </c:pt>
                <c:pt idx="80">
                  <c:v>38990</c:v>
                </c:pt>
                <c:pt idx="81">
                  <c:v>39021</c:v>
                </c:pt>
                <c:pt idx="82">
                  <c:v>39051</c:v>
                </c:pt>
                <c:pt idx="83">
                  <c:v>39082</c:v>
                </c:pt>
                <c:pt idx="84">
                  <c:v>39113</c:v>
                </c:pt>
                <c:pt idx="85">
                  <c:v>39141</c:v>
                </c:pt>
                <c:pt idx="86">
                  <c:v>39172</c:v>
                </c:pt>
                <c:pt idx="87">
                  <c:v>39202</c:v>
                </c:pt>
                <c:pt idx="88">
                  <c:v>39233</c:v>
                </c:pt>
                <c:pt idx="89">
                  <c:v>39263</c:v>
                </c:pt>
                <c:pt idx="90">
                  <c:v>39294</c:v>
                </c:pt>
                <c:pt idx="91">
                  <c:v>39325</c:v>
                </c:pt>
                <c:pt idx="92">
                  <c:v>39355</c:v>
                </c:pt>
                <c:pt idx="93">
                  <c:v>39386</c:v>
                </c:pt>
                <c:pt idx="94">
                  <c:v>39416</c:v>
                </c:pt>
                <c:pt idx="95">
                  <c:v>39447</c:v>
                </c:pt>
                <c:pt idx="96">
                  <c:v>39478</c:v>
                </c:pt>
                <c:pt idx="97">
                  <c:v>39507</c:v>
                </c:pt>
                <c:pt idx="98">
                  <c:v>39538</c:v>
                </c:pt>
                <c:pt idx="99">
                  <c:v>39568</c:v>
                </c:pt>
                <c:pt idx="100">
                  <c:v>39599</c:v>
                </c:pt>
                <c:pt idx="101">
                  <c:v>39629</c:v>
                </c:pt>
                <c:pt idx="102">
                  <c:v>39660</c:v>
                </c:pt>
                <c:pt idx="103">
                  <c:v>39691</c:v>
                </c:pt>
                <c:pt idx="104">
                  <c:v>39721</c:v>
                </c:pt>
                <c:pt idx="105">
                  <c:v>39752</c:v>
                </c:pt>
                <c:pt idx="106">
                  <c:v>39782</c:v>
                </c:pt>
                <c:pt idx="107">
                  <c:v>39813</c:v>
                </c:pt>
                <c:pt idx="108">
                  <c:v>39844</c:v>
                </c:pt>
                <c:pt idx="109">
                  <c:v>39872</c:v>
                </c:pt>
                <c:pt idx="110">
                  <c:v>39903</c:v>
                </c:pt>
                <c:pt idx="111">
                  <c:v>39933</c:v>
                </c:pt>
                <c:pt idx="112">
                  <c:v>39964</c:v>
                </c:pt>
                <c:pt idx="113">
                  <c:v>39994</c:v>
                </c:pt>
                <c:pt idx="114">
                  <c:v>40025</c:v>
                </c:pt>
                <c:pt idx="115">
                  <c:v>40056</c:v>
                </c:pt>
                <c:pt idx="116">
                  <c:v>40086</c:v>
                </c:pt>
                <c:pt idx="117">
                  <c:v>40117</c:v>
                </c:pt>
                <c:pt idx="118">
                  <c:v>40147</c:v>
                </c:pt>
                <c:pt idx="119">
                  <c:v>40178</c:v>
                </c:pt>
                <c:pt idx="120">
                  <c:v>40209</c:v>
                </c:pt>
                <c:pt idx="121">
                  <c:v>40237</c:v>
                </c:pt>
                <c:pt idx="122">
                  <c:v>40268</c:v>
                </c:pt>
                <c:pt idx="123">
                  <c:v>40298</c:v>
                </c:pt>
                <c:pt idx="124">
                  <c:v>40329</c:v>
                </c:pt>
                <c:pt idx="125">
                  <c:v>40359</c:v>
                </c:pt>
                <c:pt idx="126">
                  <c:v>40390</c:v>
                </c:pt>
                <c:pt idx="127">
                  <c:v>40421</c:v>
                </c:pt>
                <c:pt idx="128">
                  <c:v>40451</c:v>
                </c:pt>
                <c:pt idx="129">
                  <c:v>40482</c:v>
                </c:pt>
                <c:pt idx="130">
                  <c:v>40512</c:v>
                </c:pt>
                <c:pt idx="131">
                  <c:v>40543</c:v>
                </c:pt>
                <c:pt idx="132">
                  <c:v>40574</c:v>
                </c:pt>
                <c:pt idx="133">
                  <c:v>40602</c:v>
                </c:pt>
                <c:pt idx="134">
                  <c:v>40633</c:v>
                </c:pt>
                <c:pt idx="135">
                  <c:v>40663</c:v>
                </c:pt>
                <c:pt idx="136">
                  <c:v>40694</c:v>
                </c:pt>
                <c:pt idx="137">
                  <c:v>40724</c:v>
                </c:pt>
                <c:pt idx="138">
                  <c:v>40755</c:v>
                </c:pt>
                <c:pt idx="139">
                  <c:v>40786</c:v>
                </c:pt>
                <c:pt idx="140">
                  <c:v>40816</c:v>
                </c:pt>
                <c:pt idx="141">
                  <c:v>40847</c:v>
                </c:pt>
                <c:pt idx="142">
                  <c:v>40877</c:v>
                </c:pt>
                <c:pt idx="143">
                  <c:v>40908</c:v>
                </c:pt>
                <c:pt idx="144">
                  <c:v>40939</c:v>
                </c:pt>
                <c:pt idx="145">
                  <c:v>40968</c:v>
                </c:pt>
                <c:pt idx="146">
                  <c:v>40999</c:v>
                </c:pt>
                <c:pt idx="147">
                  <c:v>41029</c:v>
                </c:pt>
                <c:pt idx="148">
                  <c:v>41060</c:v>
                </c:pt>
                <c:pt idx="149">
                  <c:v>41090</c:v>
                </c:pt>
                <c:pt idx="150">
                  <c:v>41121</c:v>
                </c:pt>
                <c:pt idx="151">
                  <c:v>41152</c:v>
                </c:pt>
                <c:pt idx="152">
                  <c:v>41182</c:v>
                </c:pt>
                <c:pt idx="153">
                  <c:v>41213</c:v>
                </c:pt>
                <c:pt idx="154">
                  <c:v>41243</c:v>
                </c:pt>
                <c:pt idx="155">
                  <c:v>41274</c:v>
                </c:pt>
                <c:pt idx="156">
                  <c:v>41305</c:v>
                </c:pt>
                <c:pt idx="157">
                  <c:v>41333</c:v>
                </c:pt>
                <c:pt idx="158">
                  <c:v>41364</c:v>
                </c:pt>
                <c:pt idx="159">
                  <c:v>41394</c:v>
                </c:pt>
                <c:pt idx="160">
                  <c:v>41425</c:v>
                </c:pt>
                <c:pt idx="161">
                  <c:v>41455</c:v>
                </c:pt>
                <c:pt idx="162">
                  <c:v>41486</c:v>
                </c:pt>
                <c:pt idx="163">
                  <c:v>41517</c:v>
                </c:pt>
                <c:pt idx="164">
                  <c:v>41547</c:v>
                </c:pt>
                <c:pt idx="165">
                  <c:v>41578</c:v>
                </c:pt>
                <c:pt idx="166">
                  <c:v>41608</c:v>
                </c:pt>
                <c:pt idx="167">
                  <c:v>41639</c:v>
                </c:pt>
                <c:pt idx="168">
                  <c:v>41670</c:v>
                </c:pt>
                <c:pt idx="169">
                  <c:v>41698</c:v>
                </c:pt>
                <c:pt idx="170">
                  <c:v>41729</c:v>
                </c:pt>
                <c:pt idx="171">
                  <c:v>41759</c:v>
                </c:pt>
                <c:pt idx="172">
                  <c:v>41790</c:v>
                </c:pt>
                <c:pt idx="173">
                  <c:v>41820</c:v>
                </c:pt>
                <c:pt idx="174">
                  <c:v>41851</c:v>
                </c:pt>
                <c:pt idx="175">
                  <c:v>41882</c:v>
                </c:pt>
                <c:pt idx="176">
                  <c:v>41912</c:v>
                </c:pt>
                <c:pt idx="177">
                  <c:v>41943</c:v>
                </c:pt>
                <c:pt idx="178">
                  <c:v>41973</c:v>
                </c:pt>
                <c:pt idx="179">
                  <c:v>42004</c:v>
                </c:pt>
                <c:pt idx="180">
                  <c:v>42035</c:v>
                </c:pt>
                <c:pt idx="181">
                  <c:v>42063</c:v>
                </c:pt>
                <c:pt idx="182">
                  <c:v>42094</c:v>
                </c:pt>
                <c:pt idx="183">
                  <c:v>42124</c:v>
                </c:pt>
                <c:pt idx="184">
                  <c:v>42155</c:v>
                </c:pt>
                <c:pt idx="185">
                  <c:v>42185</c:v>
                </c:pt>
                <c:pt idx="186">
                  <c:v>42216</c:v>
                </c:pt>
                <c:pt idx="187">
                  <c:v>42247</c:v>
                </c:pt>
                <c:pt idx="188">
                  <c:v>42277</c:v>
                </c:pt>
                <c:pt idx="189">
                  <c:v>42308</c:v>
                </c:pt>
                <c:pt idx="190">
                  <c:v>42338</c:v>
                </c:pt>
                <c:pt idx="191">
                  <c:v>42369</c:v>
                </c:pt>
                <c:pt idx="192">
                  <c:v>42400</c:v>
                </c:pt>
                <c:pt idx="193">
                  <c:v>42429</c:v>
                </c:pt>
                <c:pt idx="194">
                  <c:v>42460</c:v>
                </c:pt>
                <c:pt idx="195">
                  <c:v>42490</c:v>
                </c:pt>
                <c:pt idx="196">
                  <c:v>42521</c:v>
                </c:pt>
                <c:pt idx="197">
                  <c:v>42551</c:v>
                </c:pt>
                <c:pt idx="198">
                  <c:v>42582</c:v>
                </c:pt>
                <c:pt idx="199">
                  <c:v>42613</c:v>
                </c:pt>
                <c:pt idx="200">
                  <c:v>42643</c:v>
                </c:pt>
                <c:pt idx="201">
                  <c:v>42674</c:v>
                </c:pt>
                <c:pt idx="202">
                  <c:v>42704</c:v>
                </c:pt>
                <c:pt idx="203">
                  <c:v>42735</c:v>
                </c:pt>
                <c:pt idx="204">
                  <c:v>42766</c:v>
                </c:pt>
                <c:pt idx="205">
                  <c:v>42794</c:v>
                </c:pt>
                <c:pt idx="206">
                  <c:v>42825</c:v>
                </c:pt>
                <c:pt idx="207">
                  <c:v>42855</c:v>
                </c:pt>
                <c:pt idx="208">
                  <c:v>42886</c:v>
                </c:pt>
                <c:pt idx="209">
                  <c:v>42916</c:v>
                </c:pt>
                <c:pt idx="210">
                  <c:v>42947</c:v>
                </c:pt>
                <c:pt idx="211">
                  <c:v>42978</c:v>
                </c:pt>
                <c:pt idx="212">
                  <c:v>43008</c:v>
                </c:pt>
                <c:pt idx="213">
                  <c:v>43039</c:v>
                </c:pt>
                <c:pt idx="214">
                  <c:v>43069</c:v>
                </c:pt>
                <c:pt idx="215">
                  <c:v>43100</c:v>
                </c:pt>
                <c:pt idx="216">
                  <c:v>43131</c:v>
                </c:pt>
                <c:pt idx="217">
                  <c:v>43159</c:v>
                </c:pt>
                <c:pt idx="218">
                  <c:v>43190</c:v>
                </c:pt>
                <c:pt idx="219">
                  <c:v>43220</c:v>
                </c:pt>
                <c:pt idx="220">
                  <c:v>43251</c:v>
                </c:pt>
                <c:pt idx="221">
                  <c:v>43281</c:v>
                </c:pt>
                <c:pt idx="222">
                  <c:v>43312</c:v>
                </c:pt>
                <c:pt idx="223">
                  <c:v>43343</c:v>
                </c:pt>
                <c:pt idx="224">
                  <c:v>43373</c:v>
                </c:pt>
                <c:pt idx="225">
                  <c:v>43404</c:v>
                </c:pt>
                <c:pt idx="226">
                  <c:v>43434</c:v>
                </c:pt>
                <c:pt idx="227">
                  <c:v>43465</c:v>
                </c:pt>
                <c:pt idx="228">
                  <c:v>43496</c:v>
                </c:pt>
                <c:pt idx="229">
                  <c:v>43524</c:v>
                </c:pt>
                <c:pt idx="230">
                  <c:v>43555</c:v>
                </c:pt>
                <c:pt idx="231">
                  <c:v>43585</c:v>
                </c:pt>
                <c:pt idx="232">
                  <c:v>43616</c:v>
                </c:pt>
                <c:pt idx="233">
                  <c:v>43646</c:v>
                </c:pt>
                <c:pt idx="234">
                  <c:v>43677</c:v>
                </c:pt>
                <c:pt idx="235">
                  <c:v>43708</c:v>
                </c:pt>
                <c:pt idx="236">
                  <c:v>43738</c:v>
                </c:pt>
                <c:pt idx="237">
                  <c:v>43769</c:v>
                </c:pt>
                <c:pt idx="238">
                  <c:v>43799</c:v>
                </c:pt>
                <c:pt idx="239">
                  <c:v>43830</c:v>
                </c:pt>
                <c:pt idx="240">
                  <c:v>43861</c:v>
                </c:pt>
                <c:pt idx="241">
                  <c:v>43890</c:v>
                </c:pt>
                <c:pt idx="242">
                  <c:v>43921</c:v>
                </c:pt>
                <c:pt idx="243">
                  <c:v>43951</c:v>
                </c:pt>
                <c:pt idx="244">
                  <c:v>43982</c:v>
                </c:pt>
                <c:pt idx="245">
                  <c:v>44012</c:v>
                </c:pt>
                <c:pt idx="246">
                  <c:v>44043</c:v>
                </c:pt>
                <c:pt idx="247">
                  <c:v>44074</c:v>
                </c:pt>
                <c:pt idx="248">
                  <c:v>44104</c:v>
                </c:pt>
                <c:pt idx="249">
                  <c:v>44135</c:v>
                </c:pt>
                <c:pt idx="250">
                  <c:v>44165</c:v>
                </c:pt>
                <c:pt idx="251">
                  <c:v>44196</c:v>
                </c:pt>
                <c:pt idx="252">
                  <c:v>44227</c:v>
                </c:pt>
                <c:pt idx="253">
                  <c:v>44255</c:v>
                </c:pt>
                <c:pt idx="254">
                  <c:v>44286</c:v>
                </c:pt>
                <c:pt idx="255">
                  <c:v>44316</c:v>
                </c:pt>
                <c:pt idx="256">
                  <c:v>44347</c:v>
                </c:pt>
                <c:pt idx="257">
                  <c:v>44377</c:v>
                </c:pt>
                <c:pt idx="258">
                  <c:v>44408</c:v>
                </c:pt>
                <c:pt idx="259">
                  <c:v>44439</c:v>
                </c:pt>
                <c:pt idx="260">
                  <c:v>44469</c:v>
                </c:pt>
                <c:pt idx="261">
                  <c:v>44500</c:v>
                </c:pt>
                <c:pt idx="262">
                  <c:v>44530</c:v>
                </c:pt>
                <c:pt idx="263">
                  <c:v>44561</c:v>
                </c:pt>
                <c:pt idx="264">
                  <c:v>44592</c:v>
                </c:pt>
                <c:pt idx="265">
                  <c:v>44620</c:v>
                </c:pt>
                <c:pt idx="266">
                  <c:v>44651</c:v>
                </c:pt>
                <c:pt idx="269">
                  <c:v>44469</c:v>
                </c:pt>
                <c:pt idx="270">
                  <c:v>44561</c:v>
                </c:pt>
                <c:pt idx="271">
                  <c:v>44651</c:v>
                </c:pt>
              </c:numCache>
            </c:numRef>
          </c:cat>
          <c:val>
            <c:numRef>
              <c:f>TarbijaKindlustunne!$C$2:$C$300</c:f>
              <c:numCache>
                <c:formatCode>General</c:formatCode>
                <c:ptCount val="299"/>
                <c:pt idx="0">
                  <c:v>-2.4</c:v>
                </c:pt>
                <c:pt idx="1">
                  <c:v>-2.1</c:v>
                </c:pt>
                <c:pt idx="2">
                  <c:v>-1.9</c:v>
                </c:pt>
                <c:pt idx="3">
                  <c:v>-1.7</c:v>
                </c:pt>
                <c:pt idx="4">
                  <c:v>-1.4</c:v>
                </c:pt>
                <c:pt idx="5">
                  <c:v>-2.5</c:v>
                </c:pt>
                <c:pt idx="6">
                  <c:v>-2.2999999999999998</c:v>
                </c:pt>
                <c:pt idx="7">
                  <c:v>-2.2000000000000002</c:v>
                </c:pt>
                <c:pt idx="8">
                  <c:v>-4.7</c:v>
                </c:pt>
                <c:pt idx="9">
                  <c:v>-4.2</c:v>
                </c:pt>
                <c:pt idx="10">
                  <c:v>-3.7</c:v>
                </c:pt>
                <c:pt idx="11">
                  <c:v>-3.1</c:v>
                </c:pt>
                <c:pt idx="12">
                  <c:v>-3.3</c:v>
                </c:pt>
                <c:pt idx="13">
                  <c:v>-3.7</c:v>
                </c:pt>
                <c:pt idx="14">
                  <c:v>-3.7</c:v>
                </c:pt>
                <c:pt idx="15">
                  <c:v>-4.0999999999999996</c:v>
                </c:pt>
                <c:pt idx="16">
                  <c:v>-5.3</c:v>
                </c:pt>
                <c:pt idx="17">
                  <c:v>-5.8</c:v>
                </c:pt>
                <c:pt idx="18">
                  <c:v>-6.5</c:v>
                </c:pt>
                <c:pt idx="19">
                  <c:v>-7.6</c:v>
                </c:pt>
                <c:pt idx="20">
                  <c:v>-7.7</c:v>
                </c:pt>
                <c:pt idx="21">
                  <c:v>-8.4</c:v>
                </c:pt>
                <c:pt idx="22">
                  <c:v>-9.1</c:v>
                </c:pt>
                <c:pt idx="23">
                  <c:v>-8.3000000000000007</c:v>
                </c:pt>
                <c:pt idx="24">
                  <c:v>-8.1999999999999993</c:v>
                </c:pt>
                <c:pt idx="25">
                  <c:v>-8</c:v>
                </c:pt>
                <c:pt idx="26">
                  <c:v>-7.8</c:v>
                </c:pt>
                <c:pt idx="27">
                  <c:v>-8.4</c:v>
                </c:pt>
                <c:pt idx="28">
                  <c:v>-8</c:v>
                </c:pt>
                <c:pt idx="29">
                  <c:v>-8.6999999999999993</c:v>
                </c:pt>
                <c:pt idx="30">
                  <c:v>-9</c:v>
                </c:pt>
                <c:pt idx="31">
                  <c:v>-10</c:v>
                </c:pt>
                <c:pt idx="32">
                  <c:v>-9.1999999999999993</c:v>
                </c:pt>
                <c:pt idx="33">
                  <c:v>-10.6</c:v>
                </c:pt>
                <c:pt idx="34">
                  <c:v>-12.2</c:v>
                </c:pt>
                <c:pt idx="35">
                  <c:v>-13.7</c:v>
                </c:pt>
                <c:pt idx="36">
                  <c:v>-14.5</c:v>
                </c:pt>
                <c:pt idx="37">
                  <c:v>-15</c:v>
                </c:pt>
                <c:pt idx="38">
                  <c:v>-16</c:v>
                </c:pt>
                <c:pt idx="39">
                  <c:v>-14.6</c:v>
                </c:pt>
                <c:pt idx="40">
                  <c:v>-14.2</c:v>
                </c:pt>
                <c:pt idx="41">
                  <c:v>-13</c:v>
                </c:pt>
                <c:pt idx="42">
                  <c:v>-13.2</c:v>
                </c:pt>
                <c:pt idx="43">
                  <c:v>-13.4</c:v>
                </c:pt>
                <c:pt idx="44">
                  <c:v>-12.5</c:v>
                </c:pt>
                <c:pt idx="45">
                  <c:v>-12.9</c:v>
                </c:pt>
                <c:pt idx="46">
                  <c:v>-12.3</c:v>
                </c:pt>
                <c:pt idx="47">
                  <c:v>-12.5</c:v>
                </c:pt>
                <c:pt idx="48">
                  <c:v>-12.8</c:v>
                </c:pt>
                <c:pt idx="49">
                  <c:v>-12</c:v>
                </c:pt>
                <c:pt idx="50">
                  <c:v>-11.8</c:v>
                </c:pt>
                <c:pt idx="51">
                  <c:v>-11.9</c:v>
                </c:pt>
                <c:pt idx="52">
                  <c:v>-11.9</c:v>
                </c:pt>
                <c:pt idx="53">
                  <c:v>-11.4</c:v>
                </c:pt>
                <c:pt idx="54">
                  <c:v>-11.7</c:v>
                </c:pt>
                <c:pt idx="55">
                  <c:v>-11.1</c:v>
                </c:pt>
                <c:pt idx="56">
                  <c:v>-10.5</c:v>
                </c:pt>
                <c:pt idx="57">
                  <c:v>-10.4</c:v>
                </c:pt>
                <c:pt idx="58">
                  <c:v>-10.7</c:v>
                </c:pt>
                <c:pt idx="59">
                  <c:v>-10.3</c:v>
                </c:pt>
                <c:pt idx="60">
                  <c:v>-9.9</c:v>
                </c:pt>
                <c:pt idx="61">
                  <c:v>-9.8000000000000007</c:v>
                </c:pt>
                <c:pt idx="62">
                  <c:v>-9.8000000000000007</c:v>
                </c:pt>
                <c:pt idx="63">
                  <c:v>-10.199999999999999</c:v>
                </c:pt>
                <c:pt idx="64">
                  <c:v>-11.6</c:v>
                </c:pt>
                <c:pt idx="65">
                  <c:v>-11.8</c:v>
                </c:pt>
                <c:pt idx="66">
                  <c:v>-12.3</c:v>
                </c:pt>
                <c:pt idx="67">
                  <c:v>-11.3</c:v>
                </c:pt>
                <c:pt idx="68">
                  <c:v>-11.8</c:v>
                </c:pt>
                <c:pt idx="69">
                  <c:v>-11.6</c:v>
                </c:pt>
                <c:pt idx="70">
                  <c:v>-11.5</c:v>
                </c:pt>
                <c:pt idx="71">
                  <c:v>-10</c:v>
                </c:pt>
                <c:pt idx="72">
                  <c:v>-9.1999999999999993</c:v>
                </c:pt>
                <c:pt idx="73">
                  <c:v>-9.4</c:v>
                </c:pt>
                <c:pt idx="74">
                  <c:v>-9.1</c:v>
                </c:pt>
                <c:pt idx="75">
                  <c:v>-8.4</c:v>
                </c:pt>
                <c:pt idx="76">
                  <c:v>-8.5</c:v>
                </c:pt>
                <c:pt idx="77">
                  <c:v>-9</c:v>
                </c:pt>
                <c:pt idx="78">
                  <c:v>-8.5</c:v>
                </c:pt>
                <c:pt idx="79">
                  <c:v>-8.4</c:v>
                </c:pt>
                <c:pt idx="80">
                  <c:v>-8.1999999999999993</c:v>
                </c:pt>
                <c:pt idx="81">
                  <c:v>-8.1</c:v>
                </c:pt>
                <c:pt idx="82">
                  <c:v>-7.7</c:v>
                </c:pt>
                <c:pt idx="83">
                  <c:v>-6.8</c:v>
                </c:pt>
                <c:pt idx="84">
                  <c:v>-7.9</c:v>
                </c:pt>
                <c:pt idx="85">
                  <c:v>-7</c:v>
                </c:pt>
                <c:pt idx="86">
                  <c:v>-6.6</c:v>
                </c:pt>
                <c:pt idx="87">
                  <c:v>-6.2</c:v>
                </c:pt>
                <c:pt idx="88">
                  <c:v>-5</c:v>
                </c:pt>
                <c:pt idx="89">
                  <c:v>-5.2</c:v>
                </c:pt>
                <c:pt idx="90">
                  <c:v>-5.0999999999999996</c:v>
                </c:pt>
                <c:pt idx="91">
                  <c:v>-6.5</c:v>
                </c:pt>
                <c:pt idx="92">
                  <c:v>-7.7</c:v>
                </c:pt>
                <c:pt idx="93">
                  <c:v>-8</c:v>
                </c:pt>
                <c:pt idx="94">
                  <c:v>-9.9</c:v>
                </c:pt>
                <c:pt idx="95">
                  <c:v>-10.7</c:v>
                </c:pt>
                <c:pt idx="96">
                  <c:v>-12.6</c:v>
                </c:pt>
                <c:pt idx="97">
                  <c:v>-13</c:v>
                </c:pt>
                <c:pt idx="98">
                  <c:v>-13.2</c:v>
                </c:pt>
                <c:pt idx="99">
                  <c:v>-13.9</c:v>
                </c:pt>
                <c:pt idx="100">
                  <c:v>-15.1</c:v>
                </c:pt>
                <c:pt idx="101">
                  <c:v>-17.8</c:v>
                </c:pt>
                <c:pt idx="102">
                  <c:v>-19.899999999999999</c:v>
                </c:pt>
                <c:pt idx="103">
                  <c:v>-18.399999999999999</c:v>
                </c:pt>
                <c:pt idx="104">
                  <c:v>-17.2</c:v>
                </c:pt>
                <c:pt idx="105">
                  <c:v>-19.600000000000001</c:v>
                </c:pt>
                <c:pt idx="106">
                  <c:v>-19.3</c:v>
                </c:pt>
                <c:pt idx="107">
                  <c:v>-21.1</c:v>
                </c:pt>
                <c:pt idx="108">
                  <c:v>-20.9</c:v>
                </c:pt>
                <c:pt idx="109">
                  <c:v>-22.3</c:v>
                </c:pt>
                <c:pt idx="110">
                  <c:v>-22.7</c:v>
                </c:pt>
                <c:pt idx="111">
                  <c:v>-21</c:v>
                </c:pt>
                <c:pt idx="112">
                  <c:v>-19.600000000000001</c:v>
                </c:pt>
                <c:pt idx="113">
                  <c:v>-17.5</c:v>
                </c:pt>
                <c:pt idx="114">
                  <c:v>-16.100000000000001</c:v>
                </c:pt>
                <c:pt idx="115">
                  <c:v>-14.9</c:v>
                </c:pt>
                <c:pt idx="116">
                  <c:v>-13.5</c:v>
                </c:pt>
                <c:pt idx="117">
                  <c:v>-12.1</c:v>
                </c:pt>
                <c:pt idx="118">
                  <c:v>-11.4</c:v>
                </c:pt>
                <c:pt idx="119">
                  <c:v>-11.1</c:v>
                </c:pt>
                <c:pt idx="120">
                  <c:v>-10.9</c:v>
                </c:pt>
                <c:pt idx="121">
                  <c:v>-11.9</c:v>
                </c:pt>
                <c:pt idx="122">
                  <c:v>-12.2</c:v>
                </c:pt>
                <c:pt idx="123">
                  <c:v>-11.8</c:v>
                </c:pt>
                <c:pt idx="124">
                  <c:v>-14.6</c:v>
                </c:pt>
                <c:pt idx="125">
                  <c:v>-14.7</c:v>
                </c:pt>
                <c:pt idx="126">
                  <c:v>-13.2</c:v>
                </c:pt>
                <c:pt idx="127">
                  <c:v>-12</c:v>
                </c:pt>
                <c:pt idx="128">
                  <c:v>-12.3</c:v>
                </c:pt>
                <c:pt idx="129">
                  <c:v>-12.5</c:v>
                </c:pt>
                <c:pt idx="130">
                  <c:v>-11.2</c:v>
                </c:pt>
                <c:pt idx="131">
                  <c:v>-12.2</c:v>
                </c:pt>
                <c:pt idx="132">
                  <c:v>-12.3</c:v>
                </c:pt>
                <c:pt idx="133">
                  <c:v>-11.5</c:v>
                </c:pt>
                <c:pt idx="134">
                  <c:v>-12.5</c:v>
                </c:pt>
                <c:pt idx="135">
                  <c:v>-14.3</c:v>
                </c:pt>
                <c:pt idx="136">
                  <c:v>-13.9</c:v>
                </c:pt>
                <c:pt idx="137">
                  <c:v>-13</c:v>
                </c:pt>
                <c:pt idx="138">
                  <c:v>-13.4</c:v>
                </c:pt>
                <c:pt idx="139">
                  <c:v>-16.5</c:v>
                </c:pt>
                <c:pt idx="140">
                  <c:v>-17.7</c:v>
                </c:pt>
                <c:pt idx="141">
                  <c:v>-18.399999999999999</c:v>
                </c:pt>
                <c:pt idx="142">
                  <c:v>-18.2</c:v>
                </c:pt>
                <c:pt idx="143">
                  <c:v>-19</c:v>
                </c:pt>
                <c:pt idx="144">
                  <c:v>-18.5</c:v>
                </c:pt>
                <c:pt idx="145">
                  <c:v>-17.5</c:v>
                </c:pt>
                <c:pt idx="146">
                  <c:v>-16.5</c:v>
                </c:pt>
                <c:pt idx="147">
                  <c:v>-17.8</c:v>
                </c:pt>
                <c:pt idx="148">
                  <c:v>-17.899999999999999</c:v>
                </c:pt>
                <c:pt idx="149">
                  <c:v>-17.7</c:v>
                </c:pt>
                <c:pt idx="150">
                  <c:v>-18.3</c:v>
                </c:pt>
                <c:pt idx="151">
                  <c:v>-19.399999999999999</c:v>
                </c:pt>
                <c:pt idx="152">
                  <c:v>-21.1</c:v>
                </c:pt>
                <c:pt idx="153">
                  <c:v>-20.6</c:v>
                </c:pt>
                <c:pt idx="154">
                  <c:v>-21.1</c:v>
                </c:pt>
                <c:pt idx="155">
                  <c:v>-21.4</c:v>
                </c:pt>
                <c:pt idx="156">
                  <c:v>-19.600000000000001</c:v>
                </c:pt>
                <c:pt idx="157">
                  <c:v>-19.2</c:v>
                </c:pt>
                <c:pt idx="158">
                  <c:v>-19.100000000000001</c:v>
                </c:pt>
                <c:pt idx="159">
                  <c:v>-18.5</c:v>
                </c:pt>
                <c:pt idx="160">
                  <c:v>-18.5</c:v>
                </c:pt>
                <c:pt idx="161">
                  <c:v>-17.399999999999999</c:v>
                </c:pt>
                <c:pt idx="162">
                  <c:v>-17</c:v>
                </c:pt>
                <c:pt idx="163">
                  <c:v>-15.9</c:v>
                </c:pt>
                <c:pt idx="164">
                  <c:v>-14.3</c:v>
                </c:pt>
                <c:pt idx="165">
                  <c:v>-14.3</c:v>
                </c:pt>
                <c:pt idx="166">
                  <c:v>-14</c:v>
                </c:pt>
                <c:pt idx="167">
                  <c:v>-12.9</c:v>
                </c:pt>
                <c:pt idx="168">
                  <c:v>-12.2</c:v>
                </c:pt>
                <c:pt idx="169">
                  <c:v>-12</c:v>
                </c:pt>
                <c:pt idx="170">
                  <c:v>-10.6</c:v>
                </c:pt>
                <c:pt idx="171">
                  <c:v>-10.5</c:v>
                </c:pt>
                <c:pt idx="172">
                  <c:v>-9.4</c:v>
                </c:pt>
                <c:pt idx="173">
                  <c:v>-9.3000000000000007</c:v>
                </c:pt>
                <c:pt idx="174">
                  <c:v>-9.9</c:v>
                </c:pt>
                <c:pt idx="175">
                  <c:v>-10.7</c:v>
                </c:pt>
                <c:pt idx="176">
                  <c:v>-11.2</c:v>
                </c:pt>
                <c:pt idx="177">
                  <c:v>-10.4</c:v>
                </c:pt>
                <c:pt idx="178">
                  <c:v>-10.9</c:v>
                </c:pt>
                <c:pt idx="179">
                  <c:v>-9.9</c:v>
                </c:pt>
                <c:pt idx="180">
                  <c:v>-9.3000000000000007</c:v>
                </c:pt>
                <c:pt idx="181">
                  <c:v>-7.8</c:v>
                </c:pt>
                <c:pt idx="182">
                  <c:v>-6.9</c:v>
                </c:pt>
                <c:pt idx="183">
                  <c:v>-6.8</c:v>
                </c:pt>
                <c:pt idx="184">
                  <c:v>-7.1</c:v>
                </c:pt>
                <c:pt idx="185">
                  <c:v>-7.5</c:v>
                </c:pt>
                <c:pt idx="186">
                  <c:v>-8.5</c:v>
                </c:pt>
                <c:pt idx="187">
                  <c:v>-7.4</c:v>
                </c:pt>
                <c:pt idx="188">
                  <c:v>-7.3</c:v>
                </c:pt>
                <c:pt idx="189">
                  <c:v>-6.7</c:v>
                </c:pt>
                <c:pt idx="190">
                  <c:v>-6.2</c:v>
                </c:pt>
                <c:pt idx="191">
                  <c:v>-5.4</c:v>
                </c:pt>
                <c:pt idx="192">
                  <c:v>-6.1</c:v>
                </c:pt>
                <c:pt idx="193">
                  <c:v>-7.4</c:v>
                </c:pt>
                <c:pt idx="194">
                  <c:v>-8.6</c:v>
                </c:pt>
                <c:pt idx="195">
                  <c:v>-8</c:v>
                </c:pt>
                <c:pt idx="196">
                  <c:v>-7.9</c:v>
                </c:pt>
                <c:pt idx="197">
                  <c:v>-7.6</c:v>
                </c:pt>
                <c:pt idx="198">
                  <c:v>-7.8</c:v>
                </c:pt>
                <c:pt idx="199">
                  <c:v>-7.7</c:v>
                </c:pt>
                <c:pt idx="200">
                  <c:v>-7.4</c:v>
                </c:pt>
                <c:pt idx="201">
                  <c:v>-6.6</c:v>
                </c:pt>
                <c:pt idx="202">
                  <c:v>-6.1</c:v>
                </c:pt>
                <c:pt idx="203">
                  <c:v>-5.9</c:v>
                </c:pt>
                <c:pt idx="204">
                  <c:v>-5.9</c:v>
                </c:pt>
                <c:pt idx="205">
                  <c:v>-7.1</c:v>
                </c:pt>
                <c:pt idx="206">
                  <c:v>-6.5</c:v>
                </c:pt>
                <c:pt idx="207">
                  <c:v>-6.1</c:v>
                </c:pt>
                <c:pt idx="208">
                  <c:v>-5.6</c:v>
                </c:pt>
                <c:pt idx="209">
                  <c:v>-4.8</c:v>
                </c:pt>
                <c:pt idx="210">
                  <c:v>-4.0999999999999996</c:v>
                </c:pt>
                <c:pt idx="211">
                  <c:v>-3.9</c:v>
                </c:pt>
                <c:pt idx="212">
                  <c:v>-3.4</c:v>
                </c:pt>
                <c:pt idx="213">
                  <c:v>-2.9</c:v>
                </c:pt>
                <c:pt idx="214">
                  <c:v>-2.6</c:v>
                </c:pt>
                <c:pt idx="215">
                  <c:v>-2.2999999999999998</c:v>
                </c:pt>
                <c:pt idx="216">
                  <c:v>-2.5</c:v>
                </c:pt>
                <c:pt idx="217">
                  <c:v>-2.9</c:v>
                </c:pt>
                <c:pt idx="218">
                  <c:v>-3.6</c:v>
                </c:pt>
                <c:pt idx="219">
                  <c:v>-3.6</c:v>
                </c:pt>
                <c:pt idx="220">
                  <c:v>-4</c:v>
                </c:pt>
                <c:pt idx="221">
                  <c:v>-4.0999999999999996</c:v>
                </c:pt>
                <c:pt idx="222">
                  <c:v>-3.8</c:v>
                </c:pt>
                <c:pt idx="223">
                  <c:v>-4.2</c:v>
                </c:pt>
                <c:pt idx="224">
                  <c:v>-4.5</c:v>
                </c:pt>
                <c:pt idx="225">
                  <c:v>-4.5</c:v>
                </c:pt>
                <c:pt idx="226">
                  <c:v>-5.2</c:v>
                </c:pt>
                <c:pt idx="227">
                  <c:v>-6.8</c:v>
                </c:pt>
                <c:pt idx="228">
                  <c:v>-6.5</c:v>
                </c:pt>
                <c:pt idx="229">
                  <c:v>-6</c:v>
                </c:pt>
                <c:pt idx="230">
                  <c:v>-5.7</c:v>
                </c:pt>
                <c:pt idx="231">
                  <c:v>-6.4</c:v>
                </c:pt>
                <c:pt idx="232">
                  <c:v>-5.6</c:v>
                </c:pt>
                <c:pt idx="233">
                  <c:v>-6</c:v>
                </c:pt>
                <c:pt idx="234">
                  <c:v>-5.5</c:v>
                </c:pt>
                <c:pt idx="235">
                  <c:v>-6.2</c:v>
                </c:pt>
                <c:pt idx="236">
                  <c:v>-5.7</c:v>
                </c:pt>
                <c:pt idx="237">
                  <c:v>-6.7</c:v>
                </c:pt>
                <c:pt idx="238">
                  <c:v>-6.3</c:v>
                </c:pt>
                <c:pt idx="239">
                  <c:v>-6.9</c:v>
                </c:pt>
                <c:pt idx="240">
                  <c:v>-7</c:v>
                </c:pt>
                <c:pt idx="241">
                  <c:v>-5.8</c:v>
                </c:pt>
                <c:pt idx="242">
                  <c:v>-10.4</c:v>
                </c:pt>
                <c:pt idx="243">
                  <c:v>-22</c:v>
                </c:pt>
                <c:pt idx="244">
                  <c:v>-19.5</c:v>
                </c:pt>
                <c:pt idx="245">
                  <c:v>-15.4</c:v>
                </c:pt>
                <c:pt idx="246">
                  <c:v>-15.4</c:v>
                </c:pt>
                <c:pt idx="247">
                  <c:v>-15.3</c:v>
                </c:pt>
                <c:pt idx="248">
                  <c:v>-14.6</c:v>
                </c:pt>
                <c:pt idx="249">
                  <c:v>-16.3</c:v>
                </c:pt>
                <c:pt idx="250">
                  <c:v>-18.5</c:v>
                </c:pt>
                <c:pt idx="251">
                  <c:v>-14.9</c:v>
                </c:pt>
                <c:pt idx="252">
                  <c:v>-16.5</c:v>
                </c:pt>
                <c:pt idx="253">
                  <c:v>-15.7</c:v>
                </c:pt>
                <c:pt idx="254">
                  <c:v>-12.2</c:v>
                </c:pt>
                <c:pt idx="255">
                  <c:v>-9</c:v>
                </c:pt>
                <c:pt idx="256">
                  <c:v>-6</c:v>
                </c:pt>
                <c:pt idx="257">
                  <c:v>-4.5</c:v>
                </c:pt>
                <c:pt idx="258">
                  <c:v>-5.6</c:v>
                </c:pt>
                <c:pt idx="259">
                  <c:v>-6.3</c:v>
                </c:pt>
                <c:pt idx="260">
                  <c:v>-5.3</c:v>
                </c:pt>
                <c:pt idx="261">
                  <c:v>-6.1</c:v>
                </c:pt>
                <c:pt idx="262">
                  <c:v>-8.1999999999999993</c:v>
                </c:pt>
                <c:pt idx="263">
                  <c:v>-9.6</c:v>
                </c:pt>
                <c:pt idx="264">
                  <c:v>-10</c:v>
                </c:pt>
                <c:pt idx="265">
                  <c:v>-10.199999999999999</c:v>
                </c:pt>
                <c:pt idx="266">
                  <c:v>-19.600000000000001</c:v>
                </c:pt>
                <c:pt idx="268">
                  <c:v>0</c:v>
                </c:pt>
                <c:pt idx="269">
                  <c:v>-5.3</c:v>
                </c:pt>
                <c:pt idx="270">
                  <c:v>-9.6</c:v>
                </c:pt>
                <c:pt idx="271">
                  <c:v>-19.600000000000001</c:v>
                </c:pt>
              </c:numCache>
            </c:numRef>
          </c:val>
          <c:smooth val="0"/>
          <c:extLst>
            <c:ext xmlns:c16="http://schemas.microsoft.com/office/drawing/2014/chart" uri="{C3380CC4-5D6E-409C-BE32-E72D297353CC}">
              <c16:uniqueId val="{00000000-9EFE-43B8-8DBE-4EFA1F24A9E8}"/>
            </c:ext>
          </c:extLst>
        </c:ser>
        <c:ser>
          <c:idx val="0"/>
          <c:order val="1"/>
          <c:tx>
            <c:strRef>
              <c:f>TarbijaKindlustunne!$J$1</c:f>
              <c:strCache>
                <c:ptCount val="1"/>
                <c:pt idx="0">
                  <c:v>Eesti</c:v>
                </c:pt>
              </c:strCache>
            </c:strRef>
          </c:tx>
          <c:spPr>
            <a:ln w="28575" cap="rnd">
              <a:solidFill>
                <a:schemeClr val="accent1"/>
              </a:solidFill>
              <a:round/>
            </a:ln>
            <a:effectLst/>
          </c:spPr>
          <c:marker>
            <c:symbol val="none"/>
          </c:marker>
          <c:cat>
            <c:numRef>
              <c:f>TarbijaKindlustunne!$A$2:$A$300</c:f>
              <c:numCache>
                <c:formatCode>m/d/yyyy</c:formatCode>
                <c:ptCount val="299"/>
                <c:pt idx="0">
                  <c:v>36556</c:v>
                </c:pt>
                <c:pt idx="1">
                  <c:v>36585</c:v>
                </c:pt>
                <c:pt idx="2">
                  <c:v>36616</c:v>
                </c:pt>
                <c:pt idx="3">
                  <c:v>36646</c:v>
                </c:pt>
                <c:pt idx="4">
                  <c:v>36677</c:v>
                </c:pt>
                <c:pt idx="5">
                  <c:v>36707</c:v>
                </c:pt>
                <c:pt idx="6">
                  <c:v>36738</c:v>
                </c:pt>
                <c:pt idx="7">
                  <c:v>36769</c:v>
                </c:pt>
                <c:pt idx="8">
                  <c:v>36799</c:v>
                </c:pt>
                <c:pt idx="9">
                  <c:v>36830</c:v>
                </c:pt>
                <c:pt idx="10">
                  <c:v>36860</c:v>
                </c:pt>
                <c:pt idx="11">
                  <c:v>36891</c:v>
                </c:pt>
                <c:pt idx="12">
                  <c:v>36922</c:v>
                </c:pt>
                <c:pt idx="13">
                  <c:v>36950</c:v>
                </c:pt>
                <c:pt idx="14">
                  <c:v>36981</c:v>
                </c:pt>
                <c:pt idx="15">
                  <c:v>37011</c:v>
                </c:pt>
                <c:pt idx="16">
                  <c:v>37042</c:v>
                </c:pt>
                <c:pt idx="17">
                  <c:v>37072</c:v>
                </c:pt>
                <c:pt idx="18">
                  <c:v>37103</c:v>
                </c:pt>
                <c:pt idx="19">
                  <c:v>37134</c:v>
                </c:pt>
                <c:pt idx="20">
                  <c:v>37164</c:v>
                </c:pt>
                <c:pt idx="21">
                  <c:v>37195</c:v>
                </c:pt>
                <c:pt idx="22">
                  <c:v>37225</c:v>
                </c:pt>
                <c:pt idx="23">
                  <c:v>37256</c:v>
                </c:pt>
                <c:pt idx="24">
                  <c:v>37287</c:v>
                </c:pt>
                <c:pt idx="25">
                  <c:v>37315</c:v>
                </c:pt>
                <c:pt idx="26">
                  <c:v>37346</c:v>
                </c:pt>
                <c:pt idx="27">
                  <c:v>37376</c:v>
                </c:pt>
                <c:pt idx="28">
                  <c:v>37407</c:v>
                </c:pt>
                <c:pt idx="29">
                  <c:v>37437</c:v>
                </c:pt>
                <c:pt idx="30">
                  <c:v>37468</c:v>
                </c:pt>
                <c:pt idx="31">
                  <c:v>37499</c:v>
                </c:pt>
                <c:pt idx="32">
                  <c:v>37529</c:v>
                </c:pt>
                <c:pt idx="33">
                  <c:v>37560</c:v>
                </c:pt>
                <c:pt idx="34">
                  <c:v>37590</c:v>
                </c:pt>
                <c:pt idx="35">
                  <c:v>37621</c:v>
                </c:pt>
                <c:pt idx="36">
                  <c:v>37652</c:v>
                </c:pt>
                <c:pt idx="37">
                  <c:v>37680</c:v>
                </c:pt>
                <c:pt idx="38">
                  <c:v>37711</c:v>
                </c:pt>
                <c:pt idx="39">
                  <c:v>37741</c:v>
                </c:pt>
                <c:pt idx="40">
                  <c:v>37772</c:v>
                </c:pt>
                <c:pt idx="41">
                  <c:v>37802</c:v>
                </c:pt>
                <c:pt idx="42">
                  <c:v>37833</c:v>
                </c:pt>
                <c:pt idx="43">
                  <c:v>37864</c:v>
                </c:pt>
                <c:pt idx="44">
                  <c:v>37894</c:v>
                </c:pt>
                <c:pt idx="45">
                  <c:v>37925</c:v>
                </c:pt>
                <c:pt idx="46">
                  <c:v>37955</c:v>
                </c:pt>
                <c:pt idx="47">
                  <c:v>37986</c:v>
                </c:pt>
                <c:pt idx="48">
                  <c:v>38017</c:v>
                </c:pt>
                <c:pt idx="49">
                  <c:v>38046</c:v>
                </c:pt>
                <c:pt idx="50">
                  <c:v>38077</c:v>
                </c:pt>
                <c:pt idx="51">
                  <c:v>38107</c:v>
                </c:pt>
                <c:pt idx="52">
                  <c:v>38138</c:v>
                </c:pt>
                <c:pt idx="53">
                  <c:v>38168</c:v>
                </c:pt>
                <c:pt idx="54">
                  <c:v>38199</c:v>
                </c:pt>
                <c:pt idx="55">
                  <c:v>38230</c:v>
                </c:pt>
                <c:pt idx="56">
                  <c:v>38260</c:v>
                </c:pt>
                <c:pt idx="57">
                  <c:v>38291</c:v>
                </c:pt>
                <c:pt idx="58">
                  <c:v>38321</c:v>
                </c:pt>
                <c:pt idx="59">
                  <c:v>38352</c:v>
                </c:pt>
                <c:pt idx="60">
                  <c:v>38383</c:v>
                </c:pt>
                <c:pt idx="61">
                  <c:v>38411</c:v>
                </c:pt>
                <c:pt idx="62">
                  <c:v>38442</c:v>
                </c:pt>
                <c:pt idx="63">
                  <c:v>38472</c:v>
                </c:pt>
                <c:pt idx="64">
                  <c:v>38503</c:v>
                </c:pt>
                <c:pt idx="65">
                  <c:v>38533</c:v>
                </c:pt>
                <c:pt idx="66">
                  <c:v>38564</c:v>
                </c:pt>
                <c:pt idx="67">
                  <c:v>38595</c:v>
                </c:pt>
                <c:pt idx="68">
                  <c:v>38625</c:v>
                </c:pt>
                <c:pt idx="69">
                  <c:v>38656</c:v>
                </c:pt>
                <c:pt idx="70">
                  <c:v>38686</c:v>
                </c:pt>
                <c:pt idx="71">
                  <c:v>38717</c:v>
                </c:pt>
                <c:pt idx="72">
                  <c:v>38748</c:v>
                </c:pt>
                <c:pt idx="73">
                  <c:v>38776</c:v>
                </c:pt>
                <c:pt idx="74">
                  <c:v>38807</c:v>
                </c:pt>
                <c:pt idx="75">
                  <c:v>38837</c:v>
                </c:pt>
                <c:pt idx="76">
                  <c:v>38868</c:v>
                </c:pt>
                <c:pt idx="77">
                  <c:v>38898</c:v>
                </c:pt>
                <c:pt idx="78">
                  <c:v>38929</c:v>
                </c:pt>
                <c:pt idx="79">
                  <c:v>38960</c:v>
                </c:pt>
                <c:pt idx="80">
                  <c:v>38990</c:v>
                </c:pt>
                <c:pt idx="81">
                  <c:v>39021</c:v>
                </c:pt>
                <c:pt idx="82">
                  <c:v>39051</c:v>
                </c:pt>
                <c:pt idx="83">
                  <c:v>39082</c:v>
                </c:pt>
                <c:pt idx="84">
                  <c:v>39113</c:v>
                </c:pt>
                <c:pt idx="85">
                  <c:v>39141</c:v>
                </c:pt>
                <c:pt idx="86">
                  <c:v>39172</c:v>
                </c:pt>
                <c:pt idx="87">
                  <c:v>39202</c:v>
                </c:pt>
                <c:pt idx="88">
                  <c:v>39233</c:v>
                </c:pt>
                <c:pt idx="89">
                  <c:v>39263</c:v>
                </c:pt>
                <c:pt idx="90">
                  <c:v>39294</c:v>
                </c:pt>
                <c:pt idx="91">
                  <c:v>39325</c:v>
                </c:pt>
                <c:pt idx="92">
                  <c:v>39355</c:v>
                </c:pt>
                <c:pt idx="93">
                  <c:v>39386</c:v>
                </c:pt>
                <c:pt idx="94">
                  <c:v>39416</c:v>
                </c:pt>
                <c:pt idx="95">
                  <c:v>39447</c:v>
                </c:pt>
                <c:pt idx="96">
                  <c:v>39478</c:v>
                </c:pt>
                <c:pt idx="97">
                  <c:v>39507</c:v>
                </c:pt>
                <c:pt idx="98">
                  <c:v>39538</c:v>
                </c:pt>
                <c:pt idx="99">
                  <c:v>39568</c:v>
                </c:pt>
                <c:pt idx="100">
                  <c:v>39599</c:v>
                </c:pt>
                <c:pt idx="101">
                  <c:v>39629</c:v>
                </c:pt>
                <c:pt idx="102">
                  <c:v>39660</c:v>
                </c:pt>
                <c:pt idx="103">
                  <c:v>39691</c:v>
                </c:pt>
                <c:pt idx="104">
                  <c:v>39721</c:v>
                </c:pt>
                <c:pt idx="105">
                  <c:v>39752</c:v>
                </c:pt>
                <c:pt idx="106">
                  <c:v>39782</c:v>
                </c:pt>
                <c:pt idx="107">
                  <c:v>39813</c:v>
                </c:pt>
                <c:pt idx="108">
                  <c:v>39844</c:v>
                </c:pt>
                <c:pt idx="109">
                  <c:v>39872</c:v>
                </c:pt>
                <c:pt idx="110">
                  <c:v>39903</c:v>
                </c:pt>
                <c:pt idx="111">
                  <c:v>39933</c:v>
                </c:pt>
                <c:pt idx="112">
                  <c:v>39964</c:v>
                </c:pt>
                <c:pt idx="113">
                  <c:v>39994</c:v>
                </c:pt>
                <c:pt idx="114">
                  <c:v>40025</c:v>
                </c:pt>
                <c:pt idx="115">
                  <c:v>40056</c:v>
                </c:pt>
                <c:pt idx="116">
                  <c:v>40086</c:v>
                </c:pt>
                <c:pt idx="117">
                  <c:v>40117</c:v>
                </c:pt>
                <c:pt idx="118">
                  <c:v>40147</c:v>
                </c:pt>
                <c:pt idx="119">
                  <c:v>40178</c:v>
                </c:pt>
                <c:pt idx="120">
                  <c:v>40209</c:v>
                </c:pt>
                <c:pt idx="121">
                  <c:v>40237</c:v>
                </c:pt>
                <c:pt idx="122">
                  <c:v>40268</c:v>
                </c:pt>
                <c:pt idx="123">
                  <c:v>40298</c:v>
                </c:pt>
                <c:pt idx="124">
                  <c:v>40329</c:v>
                </c:pt>
                <c:pt idx="125">
                  <c:v>40359</c:v>
                </c:pt>
                <c:pt idx="126">
                  <c:v>40390</c:v>
                </c:pt>
                <c:pt idx="127">
                  <c:v>40421</c:v>
                </c:pt>
                <c:pt idx="128">
                  <c:v>40451</c:v>
                </c:pt>
                <c:pt idx="129">
                  <c:v>40482</c:v>
                </c:pt>
                <c:pt idx="130">
                  <c:v>40512</c:v>
                </c:pt>
                <c:pt idx="131">
                  <c:v>40543</c:v>
                </c:pt>
                <c:pt idx="132">
                  <c:v>40574</c:v>
                </c:pt>
                <c:pt idx="133">
                  <c:v>40602</c:v>
                </c:pt>
                <c:pt idx="134">
                  <c:v>40633</c:v>
                </c:pt>
                <c:pt idx="135">
                  <c:v>40663</c:v>
                </c:pt>
                <c:pt idx="136">
                  <c:v>40694</c:v>
                </c:pt>
                <c:pt idx="137">
                  <c:v>40724</c:v>
                </c:pt>
                <c:pt idx="138">
                  <c:v>40755</c:v>
                </c:pt>
                <c:pt idx="139">
                  <c:v>40786</c:v>
                </c:pt>
                <c:pt idx="140">
                  <c:v>40816</c:v>
                </c:pt>
                <c:pt idx="141">
                  <c:v>40847</c:v>
                </c:pt>
                <c:pt idx="142">
                  <c:v>40877</c:v>
                </c:pt>
                <c:pt idx="143">
                  <c:v>40908</c:v>
                </c:pt>
                <c:pt idx="144">
                  <c:v>40939</c:v>
                </c:pt>
                <c:pt idx="145">
                  <c:v>40968</c:v>
                </c:pt>
                <c:pt idx="146">
                  <c:v>40999</c:v>
                </c:pt>
                <c:pt idx="147">
                  <c:v>41029</c:v>
                </c:pt>
                <c:pt idx="148">
                  <c:v>41060</c:v>
                </c:pt>
                <c:pt idx="149">
                  <c:v>41090</c:v>
                </c:pt>
                <c:pt idx="150">
                  <c:v>41121</c:v>
                </c:pt>
                <c:pt idx="151">
                  <c:v>41152</c:v>
                </c:pt>
                <c:pt idx="152">
                  <c:v>41182</c:v>
                </c:pt>
                <c:pt idx="153">
                  <c:v>41213</c:v>
                </c:pt>
                <c:pt idx="154">
                  <c:v>41243</c:v>
                </c:pt>
                <c:pt idx="155">
                  <c:v>41274</c:v>
                </c:pt>
                <c:pt idx="156">
                  <c:v>41305</c:v>
                </c:pt>
                <c:pt idx="157">
                  <c:v>41333</c:v>
                </c:pt>
                <c:pt idx="158">
                  <c:v>41364</c:v>
                </c:pt>
                <c:pt idx="159">
                  <c:v>41394</c:v>
                </c:pt>
                <c:pt idx="160">
                  <c:v>41425</c:v>
                </c:pt>
                <c:pt idx="161">
                  <c:v>41455</c:v>
                </c:pt>
                <c:pt idx="162">
                  <c:v>41486</c:v>
                </c:pt>
                <c:pt idx="163">
                  <c:v>41517</c:v>
                </c:pt>
                <c:pt idx="164">
                  <c:v>41547</c:v>
                </c:pt>
                <c:pt idx="165">
                  <c:v>41578</c:v>
                </c:pt>
                <c:pt idx="166">
                  <c:v>41608</c:v>
                </c:pt>
                <c:pt idx="167">
                  <c:v>41639</c:v>
                </c:pt>
                <c:pt idx="168">
                  <c:v>41670</c:v>
                </c:pt>
                <c:pt idx="169">
                  <c:v>41698</c:v>
                </c:pt>
                <c:pt idx="170">
                  <c:v>41729</c:v>
                </c:pt>
                <c:pt idx="171">
                  <c:v>41759</c:v>
                </c:pt>
                <c:pt idx="172">
                  <c:v>41790</c:v>
                </c:pt>
                <c:pt idx="173">
                  <c:v>41820</c:v>
                </c:pt>
                <c:pt idx="174">
                  <c:v>41851</c:v>
                </c:pt>
                <c:pt idx="175">
                  <c:v>41882</c:v>
                </c:pt>
                <c:pt idx="176">
                  <c:v>41912</c:v>
                </c:pt>
                <c:pt idx="177">
                  <c:v>41943</c:v>
                </c:pt>
                <c:pt idx="178">
                  <c:v>41973</c:v>
                </c:pt>
                <c:pt idx="179">
                  <c:v>42004</c:v>
                </c:pt>
                <c:pt idx="180">
                  <c:v>42035</c:v>
                </c:pt>
                <c:pt idx="181">
                  <c:v>42063</c:v>
                </c:pt>
                <c:pt idx="182">
                  <c:v>42094</c:v>
                </c:pt>
                <c:pt idx="183">
                  <c:v>42124</c:v>
                </c:pt>
                <c:pt idx="184">
                  <c:v>42155</c:v>
                </c:pt>
                <c:pt idx="185">
                  <c:v>42185</c:v>
                </c:pt>
                <c:pt idx="186">
                  <c:v>42216</c:v>
                </c:pt>
                <c:pt idx="187">
                  <c:v>42247</c:v>
                </c:pt>
                <c:pt idx="188">
                  <c:v>42277</c:v>
                </c:pt>
                <c:pt idx="189">
                  <c:v>42308</c:v>
                </c:pt>
                <c:pt idx="190">
                  <c:v>42338</c:v>
                </c:pt>
                <c:pt idx="191">
                  <c:v>42369</c:v>
                </c:pt>
                <c:pt idx="192">
                  <c:v>42400</c:v>
                </c:pt>
                <c:pt idx="193">
                  <c:v>42429</c:v>
                </c:pt>
                <c:pt idx="194">
                  <c:v>42460</c:v>
                </c:pt>
                <c:pt idx="195">
                  <c:v>42490</c:v>
                </c:pt>
                <c:pt idx="196">
                  <c:v>42521</c:v>
                </c:pt>
                <c:pt idx="197">
                  <c:v>42551</c:v>
                </c:pt>
                <c:pt idx="198">
                  <c:v>42582</c:v>
                </c:pt>
                <c:pt idx="199">
                  <c:v>42613</c:v>
                </c:pt>
                <c:pt idx="200">
                  <c:v>42643</c:v>
                </c:pt>
                <c:pt idx="201">
                  <c:v>42674</c:v>
                </c:pt>
                <c:pt idx="202">
                  <c:v>42704</c:v>
                </c:pt>
                <c:pt idx="203">
                  <c:v>42735</c:v>
                </c:pt>
                <c:pt idx="204">
                  <c:v>42766</c:v>
                </c:pt>
                <c:pt idx="205">
                  <c:v>42794</c:v>
                </c:pt>
                <c:pt idx="206">
                  <c:v>42825</c:v>
                </c:pt>
                <c:pt idx="207">
                  <c:v>42855</c:v>
                </c:pt>
                <c:pt idx="208">
                  <c:v>42886</c:v>
                </c:pt>
                <c:pt idx="209">
                  <c:v>42916</c:v>
                </c:pt>
                <c:pt idx="210">
                  <c:v>42947</c:v>
                </c:pt>
                <c:pt idx="211">
                  <c:v>42978</c:v>
                </c:pt>
                <c:pt idx="212">
                  <c:v>43008</c:v>
                </c:pt>
                <c:pt idx="213">
                  <c:v>43039</c:v>
                </c:pt>
                <c:pt idx="214">
                  <c:v>43069</c:v>
                </c:pt>
                <c:pt idx="215">
                  <c:v>43100</c:v>
                </c:pt>
                <c:pt idx="216">
                  <c:v>43131</c:v>
                </c:pt>
                <c:pt idx="217">
                  <c:v>43159</c:v>
                </c:pt>
                <c:pt idx="218">
                  <c:v>43190</c:v>
                </c:pt>
                <c:pt idx="219">
                  <c:v>43220</c:v>
                </c:pt>
                <c:pt idx="220">
                  <c:v>43251</c:v>
                </c:pt>
                <c:pt idx="221">
                  <c:v>43281</c:v>
                </c:pt>
                <c:pt idx="222">
                  <c:v>43312</c:v>
                </c:pt>
                <c:pt idx="223">
                  <c:v>43343</c:v>
                </c:pt>
                <c:pt idx="224">
                  <c:v>43373</c:v>
                </c:pt>
                <c:pt idx="225">
                  <c:v>43404</c:v>
                </c:pt>
                <c:pt idx="226">
                  <c:v>43434</c:v>
                </c:pt>
                <c:pt idx="227">
                  <c:v>43465</c:v>
                </c:pt>
                <c:pt idx="228">
                  <c:v>43496</c:v>
                </c:pt>
                <c:pt idx="229">
                  <c:v>43524</c:v>
                </c:pt>
                <c:pt idx="230">
                  <c:v>43555</c:v>
                </c:pt>
                <c:pt idx="231">
                  <c:v>43585</c:v>
                </c:pt>
                <c:pt idx="232">
                  <c:v>43616</c:v>
                </c:pt>
                <c:pt idx="233">
                  <c:v>43646</c:v>
                </c:pt>
                <c:pt idx="234">
                  <c:v>43677</c:v>
                </c:pt>
                <c:pt idx="235">
                  <c:v>43708</c:v>
                </c:pt>
                <c:pt idx="236">
                  <c:v>43738</c:v>
                </c:pt>
                <c:pt idx="237">
                  <c:v>43769</c:v>
                </c:pt>
                <c:pt idx="238">
                  <c:v>43799</c:v>
                </c:pt>
                <c:pt idx="239">
                  <c:v>43830</c:v>
                </c:pt>
                <c:pt idx="240">
                  <c:v>43861</c:v>
                </c:pt>
                <c:pt idx="241">
                  <c:v>43890</c:v>
                </c:pt>
                <c:pt idx="242">
                  <c:v>43921</c:v>
                </c:pt>
                <c:pt idx="243">
                  <c:v>43951</c:v>
                </c:pt>
                <c:pt idx="244">
                  <c:v>43982</c:v>
                </c:pt>
                <c:pt idx="245">
                  <c:v>44012</c:v>
                </c:pt>
                <c:pt idx="246">
                  <c:v>44043</c:v>
                </c:pt>
                <c:pt idx="247">
                  <c:v>44074</c:v>
                </c:pt>
                <c:pt idx="248">
                  <c:v>44104</c:v>
                </c:pt>
                <c:pt idx="249">
                  <c:v>44135</c:v>
                </c:pt>
                <c:pt idx="250">
                  <c:v>44165</c:v>
                </c:pt>
                <c:pt idx="251">
                  <c:v>44196</c:v>
                </c:pt>
                <c:pt idx="252">
                  <c:v>44227</c:v>
                </c:pt>
                <c:pt idx="253">
                  <c:v>44255</c:v>
                </c:pt>
                <c:pt idx="254">
                  <c:v>44286</c:v>
                </c:pt>
                <c:pt idx="255">
                  <c:v>44316</c:v>
                </c:pt>
                <c:pt idx="256">
                  <c:v>44347</c:v>
                </c:pt>
                <c:pt idx="257">
                  <c:v>44377</c:v>
                </c:pt>
                <c:pt idx="258">
                  <c:v>44408</c:v>
                </c:pt>
                <c:pt idx="259">
                  <c:v>44439</c:v>
                </c:pt>
                <c:pt idx="260">
                  <c:v>44469</c:v>
                </c:pt>
                <c:pt idx="261">
                  <c:v>44500</c:v>
                </c:pt>
                <c:pt idx="262">
                  <c:v>44530</c:v>
                </c:pt>
                <c:pt idx="263">
                  <c:v>44561</c:v>
                </c:pt>
                <c:pt idx="264">
                  <c:v>44592</c:v>
                </c:pt>
                <c:pt idx="265">
                  <c:v>44620</c:v>
                </c:pt>
                <c:pt idx="266">
                  <c:v>44651</c:v>
                </c:pt>
                <c:pt idx="269">
                  <c:v>44469</c:v>
                </c:pt>
                <c:pt idx="270">
                  <c:v>44561</c:v>
                </c:pt>
                <c:pt idx="271">
                  <c:v>44651</c:v>
                </c:pt>
              </c:numCache>
            </c:numRef>
          </c:cat>
          <c:val>
            <c:numRef>
              <c:f>TarbijaKindlustunne!$J$2:$J$300</c:f>
              <c:numCache>
                <c:formatCode>General</c:formatCode>
                <c:ptCount val="299"/>
                <c:pt idx="0">
                  <c:v>-21.2</c:v>
                </c:pt>
                <c:pt idx="1">
                  <c:v>-21.4</c:v>
                </c:pt>
                <c:pt idx="2">
                  <c:v>-21.6</c:v>
                </c:pt>
                <c:pt idx="3">
                  <c:v>-20.9</c:v>
                </c:pt>
                <c:pt idx="4">
                  <c:v>-21</c:v>
                </c:pt>
                <c:pt idx="5">
                  <c:v>-21.1</c:v>
                </c:pt>
                <c:pt idx="6">
                  <c:v>-15.8</c:v>
                </c:pt>
                <c:pt idx="7">
                  <c:v>-15.6</c:v>
                </c:pt>
                <c:pt idx="8">
                  <c:v>-15.4</c:v>
                </c:pt>
                <c:pt idx="9">
                  <c:v>-19.899999999999999</c:v>
                </c:pt>
                <c:pt idx="10">
                  <c:v>-20</c:v>
                </c:pt>
                <c:pt idx="11">
                  <c:v>-20.100000000000001</c:v>
                </c:pt>
                <c:pt idx="12">
                  <c:v>-19.5</c:v>
                </c:pt>
                <c:pt idx="13">
                  <c:v>-19.600000000000001</c:v>
                </c:pt>
                <c:pt idx="14">
                  <c:v>-19.8</c:v>
                </c:pt>
                <c:pt idx="15">
                  <c:v>-21.4</c:v>
                </c:pt>
                <c:pt idx="16">
                  <c:v>-6.3</c:v>
                </c:pt>
                <c:pt idx="17">
                  <c:v>-4.5</c:v>
                </c:pt>
                <c:pt idx="18">
                  <c:v>-3</c:v>
                </c:pt>
                <c:pt idx="19">
                  <c:v>-1</c:v>
                </c:pt>
                <c:pt idx="20">
                  <c:v>-2.2999999999999998</c:v>
                </c:pt>
                <c:pt idx="21">
                  <c:v>-7</c:v>
                </c:pt>
                <c:pt idx="22">
                  <c:v>-8.6</c:v>
                </c:pt>
                <c:pt idx="23">
                  <c:v>-9.6</c:v>
                </c:pt>
                <c:pt idx="24">
                  <c:v>-3.1</c:v>
                </c:pt>
                <c:pt idx="25">
                  <c:v>0</c:v>
                </c:pt>
                <c:pt idx="26">
                  <c:v>2.1</c:v>
                </c:pt>
                <c:pt idx="27">
                  <c:v>3</c:v>
                </c:pt>
                <c:pt idx="28">
                  <c:v>1.9</c:v>
                </c:pt>
                <c:pt idx="29">
                  <c:v>2.9</c:v>
                </c:pt>
                <c:pt idx="30">
                  <c:v>2</c:v>
                </c:pt>
                <c:pt idx="31">
                  <c:v>2.2000000000000002</c:v>
                </c:pt>
                <c:pt idx="32">
                  <c:v>3.6</c:v>
                </c:pt>
                <c:pt idx="33">
                  <c:v>1.5</c:v>
                </c:pt>
                <c:pt idx="34">
                  <c:v>4.5</c:v>
                </c:pt>
                <c:pt idx="35">
                  <c:v>4.0999999999999996</c:v>
                </c:pt>
                <c:pt idx="36">
                  <c:v>8</c:v>
                </c:pt>
                <c:pt idx="37">
                  <c:v>4.9000000000000004</c:v>
                </c:pt>
                <c:pt idx="38">
                  <c:v>6.5</c:v>
                </c:pt>
                <c:pt idx="39">
                  <c:v>4.7</c:v>
                </c:pt>
                <c:pt idx="40">
                  <c:v>2.1</c:v>
                </c:pt>
                <c:pt idx="41">
                  <c:v>-0.9</c:v>
                </c:pt>
                <c:pt idx="42">
                  <c:v>-1.3</c:v>
                </c:pt>
                <c:pt idx="43">
                  <c:v>-1.6</c:v>
                </c:pt>
                <c:pt idx="44">
                  <c:v>-0.5</c:v>
                </c:pt>
                <c:pt idx="45">
                  <c:v>-0.4</c:v>
                </c:pt>
                <c:pt idx="46">
                  <c:v>-0.7</c:v>
                </c:pt>
                <c:pt idx="47">
                  <c:v>-5.5</c:v>
                </c:pt>
                <c:pt idx="48">
                  <c:v>-2.5</c:v>
                </c:pt>
                <c:pt idx="49">
                  <c:v>-7.1</c:v>
                </c:pt>
                <c:pt idx="50">
                  <c:v>-6.5</c:v>
                </c:pt>
                <c:pt idx="51">
                  <c:v>-6</c:v>
                </c:pt>
                <c:pt idx="52">
                  <c:v>-13.2</c:v>
                </c:pt>
                <c:pt idx="53">
                  <c:v>-9.8000000000000007</c:v>
                </c:pt>
                <c:pt idx="54">
                  <c:v>-7.8</c:v>
                </c:pt>
                <c:pt idx="55">
                  <c:v>-8.1999999999999993</c:v>
                </c:pt>
                <c:pt idx="56">
                  <c:v>-6.8</c:v>
                </c:pt>
                <c:pt idx="57">
                  <c:v>-4.2</c:v>
                </c:pt>
                <c:pt idx="58">
                  <c:v>-0.4</c:v>
                </c:pt>
                <c:pt idx="59">
                  <c:v>-2.2999999999999998</c:v>
                </c:pt>
                <c:pt idx="60">
                  <c:v>-1.7</c:v>
                </c:pt>
                <c:pt idx="61">
                  <c:v>-1</c:v>
                </c:pt>
                <c:pt idx="62">
                  <c:v>0.3</c:v>
                </c:pt>
                <c:pt idx="63">
                  <c:v>-0.9</c:v>
                </c:pt>
                <c:pt idx="64">
                  <c:v>-1.8</c:v>
                </c:pt>
                <c:pt idx="65">
                  <c:v>-1.1000000000000001</c:v>
                </c:pt>
                <c:pt idx="66">
                  <c:v>4</c:v>
                </c:pt>
                <c:pt idx="67">
                  <c:v>2.2999999999999998</c:v>
                </c:pt>
                <c:pt idx="68">
                  <c:v>-5.5</c:v>
                </c:pt>
                <c:pt idx="69">
                  <c:v>7</c:v>
                </c:pt>
                <c:pt idx="70">
                  <c:v>5.2</c:v>
                </c:pt>
                <c:pt idx="71">
                  <c:v>9.1999999999999993</c:v>
                </c:pt>
                <c:pt idx="72">
                  <c:v>10.8</c:v>
                </c:pt>
                <c:pt idx="73">
                  <c:v>11.9</c:v>
                </c:pt>
                <c:pt idx="74">
                  <c:v>10.5</c:v>
                </c:pt>
                <c:pt idx="75">
                  <c:v>13.5</c:v>
                </c:pt>
                <c:pt idx="76">
                  <c:v>13.1</c:v>
                </c:pt>
                <c:pt idx="77">
                  <c:v>11.2</c:v>
                </c:pt>
                <c:pt idx="78">
                  <c:v>10.5</c:v>
                </c:pt>
                <c:pt idx="79">
                  <c:v>9.6</c:v>
                </c:pt>
                <c:pt idx="80">
                  <c:v>12.7</c:v>
                </c:pt>
                <c:pt idx="81">
                  <c:v>12.2</c:v>
                </c:pt>
                <c:pt idx="82">
                  <c:v>10.7</c:v>
                </c:pt>
                <c:pt idx="83">
                  <c:v>12.4</c:v>
                </c:pt>
                <c:pt idx="84">
                  <c:v>13</c:v>
                </c:pt>
                <c:pt idx="85">
                  <c:v>13.5</c:v>
                </c:pt>
                <c:pt idx="86">
                  <c:v>12.4</c:v>
                </c:pt>
                <c:pt idx="87">
                  <c:v>11.1</c:v>
                </c:pt>
                <c:pt idx="88">
                  <c:v>9.3000000000000007</c:v>
                </c:pt>
                <c:pt idx="89">
                  <c:v>8.4</c:v>
                </c:pt>
                <c:pt idx="90">
                  <c:v>4.8</c:v>
                </c:pt>
                <c:pt idx="91">
                  <c:v>0.6</c:v>
                </c:pt>
                <c:pt idx="92">
                  <c:v>1.5</c:v>
                </c:pt>
                <c:pt idx="93">
                  <c:v>-5.5</c:v>
                </c:pt>
                <c:pt idx="94">
                  <c:v>-6</c:v>
                </c:pt>
                <c:pt idx="95">
                  <c:v>-4.9000000000000004</c:v>
                </c:pt>
                <c:pt idx="96">
                  <c:v>-9.9</c:v>
                </c:pt>
                <c:pt idx="97">
                  <c:v>-10.1</c:v>
                </c:pt>
                <c:pt idx="98">
                  <c:v>-8.4</c:v>
                </c:pt>
                <c:pt idx="99">
                  <c:v>-9.3000000000000007</c:v>
                </c:pt>
                <c:pt idx="100">
                  <c:v>-12.1</c:v>
                </c:pt>
                <c:pt idx="101">
                  <c:v>-12.1</c:v>
                </c:pt>
                <c:pt idx="102">
                  <c:v>-17.3</c:v>
                </c:pt>
                <c:pt idx="103">
                  <c:v>-12.7</c:v>
                </c:pt>
                <c:pt idx="104">
                  <c:v>-15.9</c:v>
                </c:pt>
                <c:pt idx="105">
                  <c:v>-20.6</c:v>
                </c:pt>
                <c:pt idx="106">
                  <c:v>-21.4</c:v>
                </c:pt>
                <c:pt idx="107">
                  <c:v>-23.4</c:v>
                </c:pt>
                <c:pt idx="108">
                  <c:v>-25.5</c:v>
                </c:pt>
                <c:pt idx="109">
                  <c:v>-28.1</c:v>
                </c:pt>
                <c:pt idx="110">
                  <c:v>-30.8</c:v>
                </c:pt>
                <c:pt idx="111">
                  <c:v>-28.9</c:v>
                </c:pt>
                <c:pt idx="112">
                  <c:v>-25.6</c:v>
                </c:pt>
                <c:pt idx="113">
                  <c:v>-26.8</c:v>
                </c:pt>
                <c:pt idx="114">
                  <c:v>-28.3</c:v>
                </c:pt>
                <c:pt idx="115">
                  <c:v>-24.4</c:v>
                </c:pt>
                <c:pt idx="116">
                  <c:v>-19.899999999999999</c:v>
                </c:pt>
                <c:pt idx="117">
                  <c:v>-19</c:v>
                </c:pt>
                <c:pt idx="118">
                  <c:v>-18.2</c:v>
                </c:pt>
                <c:pt idx="119">
                  <c:v>-20.399999999999999</c:v>
                </c:pt>
                <c:pt idx="120">
                  <c:v>-18.7</c:v>
                </c:pt>
                <c:pt idx="121">
                  <c:v>-16.899999999999999</c:v>
                </c:pt>
                <c:pt idx="122">
                  <c:v>-18.399999999999999</c:v>
                </c:pt>
                <c:pt idx="123">
                  <c:v>-15.2</c:v>
                </c:pt>
                <c:pt idx="124">
                  <c:v>-15</c:v>
                </c:pt>
                <c:pt idx="125">
                  <c:v>-13</c:v>
                </c:pt>
                <c:pt idx="126">
                  <c:v>-11.7</c:v>
                </c:pt>
                <c:pt idx="127">
                  <c:v>-11.4</c:v>
                </c:pt>
                <c:pt idx="128">
                  <c:v>-9.6</c:v>
                </c:pt>
                <c:pt idx="129">
                  <c:v>-12.2</c:v>
                </c:pt>
                <c:pt idx="130">
                  <c:v>-10</c:v>
                </c:pt>
                <c:pt idx="131">
                  <c:v>-9.8000000000000007</c:v>
                </c:pt>
                <c:pt idx="132">
                  <c:v>-7.8</c:v>
                </c:pt>
                <c:pt idx="133">
                  <c:v>-6.5</c:v>
                </c:pt>
                <c:pt idx="134">
                  <c:v>-6.2</c:v>
                </c:pt>
                <c:pt idx="135">
                  <c:v>-10.1</c:v>
                </c:pt>
                <c:pt idx="136">
                  <c:v>-11.2</c:v>
                </c:pt>
                <c:pt idx="137">
                  <c:v>-10.3</c:v>
                </c:pt>
                <c:pt idx="138">
                  <c:v>-9</c:v>
                </c:pt>
                <c:pt idx="139">
                  <c:v>-13.4</c:v>
                </c:pt>
                <c:pt idx="140">
                  <c:v>-16.8</c:v>
                </c:pt>
                <c:pt idx="141">
                  <c:v>-15.6</c:v>
                </c:pt>
                <c:pt idx="142">
                  <c:v>-19.3</c:v>
                </c:pt>
                <c:pt idx="143">
                  <c:v>-18.2</c:v>
                </c:pt>
                <c:pt idx="144">
                  <c:v>-17.8</c:v>
                </c:pt>
                <c:pt idx="145">
                  <c:v>-16.3</c:v>
                </c:pt>
                <c:pt idx="146">
                  <c:v>-17.399999999999999</c:v>
                </c:pt>
                <c:pt idx="147">
                  <c:v>-16.2</c:v>
                </c:pt>
                <c:pt idx="148">
                  <c:v>-14.5</c:v>
                </c:pt>
                <c:pt idx="149">
                  <c:v>-16.7</c:v>
                </c:pt>
                <c:pt idx="150">
                  <c:v>-15.9</c:v>
                </c:pt>
                <c:pt idx="151">
                  <c:v>-15.8</c:v>
                </c:pt>
                <c:pt idx="152">
                  <c:v>-18.399999999999999</c:v>
                </c:pt>
                <c:pt idx="153">
                  <c:v>-21.4</c:v>
                </c:pt>
                <c:pt idx="154">
                  <c:v>-21.1</c:v>
                </c:pt>
                <c:pt idx="155">
                  <c:v>-14.2</c:v>
                </c:pt>
                <c:pt idx="156">
                  <c:v>-12.9</c:v>
                </c:pt>
                <c:pt idx="157">
                  <c:v>-13.3</c:v>
                </c:pt>
                <c:pt idx="158">
                  <c:v>-11.4</c:v>
                </c:pt>
                <c:pt idx="159">
                  <c:v>-10.6</c:v>
                </c:pt>
                <c:pt idx="160">
                  <c:v>-10.7</c:v>
                </c:pt>
                <c:pt idx="161">
                  <c:v>-12.3</c:v>
                </c:pt>
                <c:pt idx="162">
                  <c:v>-13.6</c:v>
                </c:pt>
                <c:pt idx="163">
                  <c:v>-13.4</c:v>
                </c:pt>
                <c:pt idx="164">
                  <c:v>-11.5</c:v>
                </c:pt>
                <c:pt idx="165">
                  <c:v>-5.9</c:v>
                </c:pt>
                <c:pt idx="166">
                  <c:v>-7.1</c:v>
                </c:pt>
                <c:pt idx="167">
                  <c:v>-6.3</c:v>
                </c:pt>
                <c:pt idx="168">
                  <c:v>-7.5</c:v>
                </c:pt>
                <c:pt idx="169">
                  <c:v>-8.3000000000000007</c:v>
                </c:pt>
                <c:pt idx="170">
                  <c:v>-6.8</c:v>
                </c:pt>
                <c:pt idx="171">
                  <c:v>-6.8</c:v>
                </c:pt>
                <c:pt idx="172">
                  <c:v>-6.9</c:v>
                </c:pt>
                <c:pt idx="173">
                  <c:v>-8.3000000000000007</c:v>
                </c:pt>
                <c:pt idx="174">
                  <c:v>-7</c:v>
                </c:pt>
                <c:pt idx="175">
                  <c:v>-6.1</c:v>
                </c:pt>
                <c:pt idx="176">
                  <c:v>-6.4</c:v>
                </c:pt>
                <c:pt idx="177">
                  <c:v>-4.9000000000000004</c:v>
                </c:pt>
                <c:pt idx="178">
                  <c:v>-3.2</c:v>
                </c:pt>
                <c:pt idx="179">
                  <c:v>-2.4</c:v>
                </c:pt>
                <c:pt idx="180">
                  <c:v>-4.4000000000000004</c:v>
                </c:pt>
                <c:pt idx="181">
                  <c:v>-6.2</c:v>
                </c:pt>
                <c:pt idx="182">
                  <c:v>-4.9000000000000004</c:v>
                </c:pt>
                <c:pt idx="183">
                  <c:v>-5.0999999999999996</c:v>
                </c:pt>
                <c:pt idx="184">
                  <c:v>-11.4</c:v>
                </c:pt>
                <c:pt idx="185">
                  <c:v>-7.4</c:v>
                </c:pt>
                <c:pt idx="186">
                  <c:v>-8.3000000000000007</c:v>
                </c:pt>
                <c:pt idx="187">
                  <c:v>-5.6</c:v>
                </c:pt>
                <c:pt idx="188">
                  <c:v>-5.8</c:v>
                </c:pt>
                <c:pt idx="189">
                  <c:v>-3.6</c:v>
                </c:pt>
                <c:pt idx="190">
                  <c:v>-5.5</c:v>
                </c:pt>
                <c:pt idx="191">
                  <c:v>-7.8</c:v>
                </c:pt>
                <c:pt idx="192">
                  <c:v>-7</c:v>
                </c:pt>
                <c:pt idx="193">
                  <c:v>-12.6</c:v>
                </c:pt>
                <c:pt idx="194">
                  <c:v>-12.2</c:v>
                </c:pt>
                <c:pt idx="195">
                  <c:v>-10</c:v>
                </c:pt>
                <c:pt idx="196">
                  <c:v>-6.4</c:v>
                </c:pt>
                <c:pt idx="197">
                  <c:v>-7.8</c:v>
                </c:pt>
                <c:pt idx="198">
                  <c:v>-6.2</c:v>
                </c:pt>
                <c:pt idx="199">
                  <c:v>-7.6</c:v>
                </c:pt>
                <c:pt idx="200">
                  <c:v>-3.7</c:v>
                </c:pt>
                <c:pt idx="201">
                  <c:v>-4.5999999999999996</c:v>
                </c:pt>
                <c:pt idx="202">
                  <c:v>-3.9</c:v>
                </c:pt>
                <c:pt idx="203">
                  <c:v>-2</c:v>
                </c:pt>
                <c:pt idx="204">
                  <c:v>-1.8</c:v>
                </c:pt>
                <c:pt idx="205">
                  <c:v>-0.7</c:v>
                </c:pt>
                <c:pt idx="206">
                  <c:v>-1.7</c:v>
                </c:pt>
                <c:pt idx="207">
                  <c:v>-1.7</c:v>
                </c:pt>
                <c:pt idx="208">
                  <c:v>-2.2000000000000002</c:v>
                </c:pt>
                <c:pt idx="209">
                  <c:v>-1.3</c:v>
                </c:pt>
                <c:pt idx="210">
                  <c:v>-0.2</c:v>
                </c:pt>
                <c:pt idx="211">
                  <c:v>-1.6</c:v>
                </c:pt>
                <c:pt idx="212">
                  <c:v>-2.5</c:v>
                </c:pt>
                <c:pt idx="213">
                  <c:v>-1.4</c:v>
                </c:pt>
                <c:pt idx="214">
                  <c:v>-0.6</c:v>
                </c:pt>
                <c:pt idx="215">
                  <c:v>-5.9</c:v>
                </c:pt>
                <c:pt idx="216">
                  <c:v>-6</c:v>
                </c:pt>
                <c:pt idx="217">
                  <c:v>-2.5</c:v>
                </c:pt>
                <c:pt idx="218">
                  <c:v>-0.2</c:v>
                </c:pt>
                <c:pt idx="219">
                  <c:v>-1.5</c:v>
                </c:pt>
                <c:pt idx="220">
                  <c:v>-1.2</c:v>
                </c:pt>
                <c:pt idx="221">
                  <c:v>-1.1000000000000001</c:v>
                </c:pt>
                <c:pt idx="222">
                  <c:v>0.3</c:v>
                </c:pt>
                <c:pt idx="223">
                  <c:v>0.2</c:v>
                </c:pt>
                <c:pt idx="224">
                  <c:v>0.6</c:v>
                </c:pt>
                <c:pt idx="225">
                  <c:v>-1</c:v>
                </c:pt>
                <c:pt idx="226">
                  <c:v>-2.8</c:v>
                </c:pt>
                <c:pt idx="227">
                  <c:v>-1</c:v>
                </c:pt>
                <c:pt idx="228">
                  <c:v>-0.7</c:v>
                </c:pt>
                <c:pt idx="229">
                  <c:v>0.6</c:v>
                </c:pt>
                <c:pt idx="230">
                  <c:v>0.8</c:v>
                </c:pt>
                <c:pt idx="231">
                  <c:v>-1.7</c:v>
                </c:pt>
                <c:pt idx="232">
                  <c:v>1.2</c:v>
                </c:pt>
                <c:pt idx="233">
                  <c:v>-1.8</c:v>
                </c:pt>
                <c:pt idx="234">
                  <c:v>-0.8</c:v>
                </c:pt>
                <c:pt idx="235">
                  <c:v>2.9</c:v>
                </c:pt>
                <c:pt idx="236">
                  <c:v>-1.6</c:v>
                </c:pt>
                <c:pt idx="237">
                  <c:v>-2.1</c:v>
                </c:pt>
                <c:pt idx="238">
                  <c:v>-0.6</c:v>
                </c:pt>
                <c:pt idx="239">
                  <c:v>0.8</c:v>
                </c:pt>
                <c:pt idx="240">
                  <c:v>-0.1</c:v>
                </c:pt>
                <c:pt idx="241">
                  <c:v>0.8</c:v>
                </c:pt>
                <c:pt idx="242">
                  <c:v>-2.2000000000000002</c:v>
                </c:pt>
                <c:pt idx="243">
                  <c:v>-14.9</c:v>
                </c:pt>
                <c:pt idx="244">
                  <c:v>-9.1999999999999993</c:v>
                </c:pt>
                <c:pt idx="245">
                  <c:v>-19</c:v>
                </c:pt>
                <c:pt idx="246">
                  <c:v>-15.4</c:v>
                </c:pt>
                <c:pt idx="247">
                  <c:v>-14.7</c:v>
                </c:pt>
                <c:pt idx="248">
                  <c:v>-13.3</c:v>
                </c:pt>
                <c:pt idx="249">
                  <c:v>-12.4</c:v>
                </c:pt>
                <c:pt idx="250">
                  <c:v>-22.6</c:v>
                </c:pt>
                <c:pt idx="251">
                  <c:v>-18.5</c:v>
                </c:pt>
                <c:pt idx="252">
                  <c:v>-18.7</c:v>
                </c:pt>
                <c:pt idx="253">
                  <c:v>-16.899999999999999</c:v>
                </c:pt>
                <c:pt idx="254">
                  <c:v>-19.399999999999999</c:v>
                </c:pt>
                <c:pt idx="255">
                  <c:v>-18.100000000000001</c:v>
                </c:pt>
                <c:pt idx="256">
                  <c:v>-16.899999999999999</c:v>
                </c:pt>
                <c:pt idx="257">
                  <c:v>-9.4</c:v>
                </c:pt>
                <c:pt idx="258">
                  <c:v>-9.8000000000000007</c:v>
                </c:pt>
                <c:pt idx="259">
                  <c:v>-11.4</c:v>
                </c:pt>
                <c:pt idx="260">
                  <c:v>-1.6</c:v>
                </c:pt>
                <c:pt idx="261">
                  <c:v>-9</c:v>
                </c:pt>
                <c:pt idx="262">
                  <c:v>-9.3000000000000007</c:v>
                </c:pt>
                <c:pt idx="263">
                  <c:v>-8.8000000000000007</c:v>
                </c:pt>
                <c:pt idx="264">
                  <c:v>-12.6</c:v>
                </c:pt>
                <c:pt idx="265">
                  <c:v>-13.2</c:v>
                </c:pt>
                <c:pt idx="266">
                  <c:v>-15.7</c:v>
                </c:pt>
                <c:pt idx="268">
                  <c:v>0</c:v>
                </c:pt>
                <c:pt idx="269">
                  <c:v>-1.6</c:v>
                </c:pt>
                <c:pt idx="270">
                  <c:v>-8.8000000000000007</c:v>
                </c:pt>
                <c:pt idx="271">
                  <c:v>-15.7</c:v>
                </c:pt>
              </c:numCache>
            </c:numRef>
          </c:val>
          <c:smooth val="0"/>
          <c:extLst>
            <c:ext xmlns:c16="http://schemas.microsoft.com/office/drawing/2014/chart" uri="{C3380CC4-5D6E-409C-BE32-E72D297353CC}">
              <c16:uniqueId val="{00000001-9EFE-43B8-8DBE-4EFA1F24A9E8}"/>
            </c:ext>
          </c:extLst>
        </c:ser>
        <c:dLbls>
          <c:showLegendKey val="0"/>
          <c:showVal val="0"/>
          <c:showCatName val="0"/>
          <c:showSerName val="0"/>
          <c:showPercent val="0"/>
          <c:showBubbleSize val="0"/>
        </c:dLbls>
        <c:smooth val="0"/>
        <c:axId val="842318879"/>
        <c:axId val="842322207"/>
      </c:lineChart>
      <c:dateAx>
        <c:axId val="842318879"/>
        <c:scaling>
          <c:orientation val="minMax"/>
          <c:max val="44926"/>
          <c:min val="39448"/>
        </c:scaling>
        <c:delete val="0"/>
        <c:axPos val="b"/>
        <c:numFmt formatCode="yyyy" sourceLinked="0"/>
        <c:majorTickMark val="none"/>
        <c:minorTickMark val="none"/>
        <c:tickLblPos val="low"/>
        <c:spPr>
          <a:noFill/>
          <a:ln w="9525" cap="flat" cmpd="sng" algn="ctr">
            <a:solidFill>
              <a:schemeClr val="tx1">
                <a:lumMod val="15000"/>
                <a:lumOff val="85000"/>
                <a:alpha val="99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Roboto Condensed" panose="02000000000000000000" pitchFamily="2" charset="0"/>
                <a:ea typeface="Roboto Condensed" panose="02000000000000000000" pitchFamily="2" charset="0"/>
                <a:cs typeface="+mn-cs"/>
              </a:defRPr>
            </a:pPr>
            <a:endParaRPr lang="et-EE"/>
          </a:p>
        </c:txPr>
        <c:crossAx val="842322207"/>
        <c:crosses val="autoZero"/>
        <c:auto val="0"/>
        <c:lblOffset val="100"/>
        <c:baseTimeUnit val="months"/>
        <c:majorUnit val="2"/>
        <c:majorTimeUnit val="years"/>
      </c:dateAx>
      <c:valAx>
        <c:axId val="84232220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Roboto Condensed" panose="02000000000000000000" pitchFamily="2" charset="0"/>
                <a:ea typeface="Roboto Condensed" panose="02000000000000000000" pitchFamily="2" charset="0"/>
                <a:cs typeface="+mn-cs"/>
              </a:defRPr>
            </a:pPr>
            <a:endParaRPr lang="et-EE"/>
          </a:p>
        </c:txPr>
        <c:crossAx val="842318879"/>
        <c:crosses val="autoZero"/>
        <c:crossBetween val="between"/>
      </c:valAx>
      <c:spPr>
        <a:noFill/>
        <a:ln>
          <a:noFill/>
        </a:ln>
        <a:effectLst/>
      </c:spPr>
    </c:plotArea>
    <c:legend>
      <c:legendPos val="b"/>
      <c:layout>
        <c:manualLayout>
          <c:xMode val="edge"/>
          <c:yMode val="edge"/>
          <c:x val="0.13419565272787504"/>
          <c:y val="0.15833333333333333"/>
          <c:w val="0.59352886714403419"/>
          <c:h val="7.925531914893617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Roboto Condensed" panose="02000000000000000000" pitchFamily="2" charset="0"/>
              <a:ea typeface="Roboto Condensed" panose="02000000000000000000" pitchFamily="2" charset="0"/>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Roboto Condensed" panose="02000000000000000000" pitchFamily="2" charset="0"/>
          <a:ea typeface="Roboto Condensed" panose="02000000000000000000" pitchFamily="2" charset="0"/>
        </a:defRPr>
      </a:pPr>
      <a:endParaRPr lang="et-E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48536044644904"/>
          <c:y val="7.4869160367629167E-2"/>
          <c:w val="0.82104969888472679"/>
          <c:h val="0.80600540342730675"/>
        </c:manualLayout>
      </c:layout>
      <c:lineChart>
        <c:grouping val="standard"/>
        <c:varyColors val="0"/>
        <c:ser>
          <c:idx val="1"/>
          <c:order val="0"/>
          <c:tx>
            <c:strRef>
              <c:f>'EV-kindlustunne'!$C$1</c:f>
              <c:strCache>
                <c:ptCount val="1"/>
                <c:pt idx="0">
                  <c:v>Euroopa Liit</c:v>
                </c:pt>
              </c:strCache>
            </c:strRef>
          </c:tx>
          <c:spPr>
            <a:ln w="28575" cap="rnd">
              <a:solidFill>
                <a:schemeClr val="accent2"/>
              </a:solidFill>
              <a:round/>
            </a:ln>
            <a:effectLst/>
          </c:spPr>
          <c:marker>
            <c:symbol val="none"/>
          </c:marker>
          <c:cat>
            <c:numRef>
              <c:f>'EV-kindlustunne'!$A$2:$A$300</c:f>
              <c:numCache>
                <c:formatCode>m/d/yyyy</c:formatCode>
                <c:ptCount val="299"/>
                <c:pt idx="0">
                  <c:v>36556</c:v>
                </c:pt>
                <c:pt idx="1">
                  <c:v>36585</c:v>
                </c:pt>
                <c:pt idx="2">
                  <c:v>36616</c:v>
                </c:pt>
                <c:pt idx="3">
                  <c:v>36646</c:v>
                </c:pt>
                <c:pt idx="4">
                  <c:v>36677</c:v>
                </c:pt>
                <c:pt idx="5">
                  <c:v>36707</c:v>
                </c:pt>
                <c:pt idx="6">
                  <c:v>36738</c:v>
                </c:pt>
                <c:pt idx="7">
                  <c:v>36769</c:v>
                </c:pt>
                <c:pt idx="8">
                  <c:v>36799</c:v>
                </c:pt>
                <c:pt idx="9">
                  <c:v>36830</c:v>
                </c:pt>
                <c:pt idx="10">
                  <c:v>36860</c:v>
                </c:pt>
                <c:pt idx="11">
                  <c:v>36891</c:v>
                </c:pt>
                <c:pt idx="12">
                  <c:v>36922</c:v>
                </c:pt>
                <c:pt idx="13">
                  <c:v>36950</c:v>
                </c:pt>
                <c:pt idx="14">
                  <c:v>36981</c:v>
                </c:pt>
                <c:pt idx="15">
                  <c:v>37011</c:v>
                </c:pt>
                <c:pt idx="16">
                  <c:v>37042</c:v>
                </c:pt>
                <c:pt idx="17">
                  <c:v>37072</c:v>
                </c:pt>
                <c:pt idx="18">
                  <c:v>37103</c:v>
                </c:pt>
                <c:pt idx="19">
                  <c:v>37134</c:v>
                </c:pt>
                <c:pt idx="20">
                  <c:v>37164</c:v>
                </c:pt>
                <c:pt idx="21">
                  <c:v>37195</c:v>
                </c:pt>
                <c:pt idx="22">
                  <c:v>37225</c:v>
                </c:pt>
                <c:pt idx="23">
                  <c:v>37256</c:v>
                </c:pt>
                <c:pt idx="24">
                  <c:v>37287</c:v>
                </c:pt>
                <c:pt idx="25">
                  <c:v>37315</c:v>
                </c:pt>
                <c:pt idx="26">
                  <c:v>37346</c:v>
                </c:pt>
                <c:pt idx="27">
                  <c:v>37376</c:v>
                </c:pt>
                <c:pt idx="28">
                  <c:v>37407</c:v>
                </c:pt>
                <c:pt idx="29">
                  <c:v>37437</c:v>
                </c:pt>
                <c:pt idx="30">
                  <c:v>37468</c:v>
                </c:pt>
                <c:pt idx="31">
                  <c:v>37499</c:v>
                </c:pt>
                <c:pt idx="32">
                  <c:v>37529</c:v>
                </c:pt>
                <c:pt idx="33">
                  <c:v>37560</c:v>
                </c:pt>
                <c:pt idx="34">
                  <c:v>37590</c:v>
                </c:pt>
                <c:pt idx="35">
                  <c:v>37621</c:v>
                </c:pt>
                <c:pt idx="36">
                  <c:v>37652</c:v>
                </c:pt>
                <c:pt idx="37">
                  <c:v>37680</c:v>
                </c:pt>
                <c:pt idx="38">
                  <c:v>37711</c:v>
                </c:pt>
                <c:pt idx="39">
                  <c:v>37741</c:v>
                </c:pt>
                <c:pt idx="40">
                  <c:v>37772</c:v>
                </c:pt>
                <c:pt idx="41">
                  <c:v>37802</c:v>
                </c:pt>
                <c:pt idx="42">
                  <c:v>37833</c:v>
                </c:pt>
                <c:pt idx="43">
                  <c:v>37864</c:v>
                </c:pt>
                <c:pt idx="44">
                  <c:v>37894</c:v>
                </c:pt>
                <c:pt idx="45">
                  <c:v>37925</c:v>
                </c:pt>
                <c:pt idx="46">
                  <c:v>37955</c:v>
                </c:pt>
                <c:pt idx="47">
                  <c:v>37986</c:v>
                </c:pt>
                <c:pt idx="48">
                  <c:v>38017</c:v>
                </c:pt>
                <c:pt idx="49">
                  <c:v>38046</c:v>
                </c:pt>
                <c:pt idx="50">
                  <c:v>38077</c:v>
                </c:pt>
                <c:pt idx="51">
                  <c:v>38107</c:v>
                </c:pt>
                <c:pt idx="52">
                  <c:v>38138</c:v>
                </c:pt>
                <c:pt idx="53">
                  <c:v>38168</c:v>
                </c:pt>
                <c:pt idx="54">
                  <c:v>38199</c:v>
                </c:pt>
                <c:pt idx="55">
                  <c:v>38230</c:v>
                </c:pt>
                <c:pt idx="56">
                  <c:v>38260</c:v>
                </c:pt>
                <c:pt idx="57">
                  <c:v>38291</c:v>
                </c:pt>
                <c:pt idx="58">
                  <c:v>38321</c:v>
                </c:pt>
                <c:pt idx="59">
                  <c:v>38352</c:v>
                </c:pt>
                <c:pt idx="60">
                  <c:v>38383</c:v>
                </c:pt>
                <c:pt idx="61">
                  <c:v>38411</c:v>
                </c:pt>
                <c:pt idx="62">
                  <c:v>38442</c:v>
                </c:pt>
                <c:pt idx="63">
                  <c:v>38472</c:v>
                </c:pt>
                <c:pt idx="64">
                  <c:v>38503</c:v>
                </c:pt>
                <c:pt idx="65">
                  <c:v>38533</c:v>
                </c:pt>
                <c:pt idx="66">
                  <c:v>38564</c:v>
                </c:pt>
                <c:pt idx="67">
                  <c:v>38595</c:v>
                </c:pt>
                <c:pt idx="68">
                  <c:v>38625</c:v>
                </c:pt>
                <c:pt idx="69">
                  <c:v>38656</c:v>
                </c:pt>
                <c:pt idx="70">
                  <c:v>38686</c:v>
                </c:pt>
                <c:pt idx="71">
                  <c:v>38717</c:v>
                </c:pt>
                <c:pt idx="72">
                  <c:v>38748</c:v>
                </c:pt>
                <c:pt idx="73">
                  <c:v>38776</c:v>
                </c:pt>
                <c:pt idx="74">
                  <c:v>38807</c:v>
                </c:pt>
                <c:pt idx="75">
                  <c:v>38837</c:v>
                </c:pt>
                <c:pt idx="76">
                  <c:v>38868</c:v>
                </c:pt>
                <c:pt idx="77">
                  <c:v>38898</c:v>
                </c:pt>
                <c:pt idx="78">
                  <c:v>38929</c:v>
                </c:pt>
                <c:pt idx="79">
                  <c:v>38960</c:v>
                </c:pt>
                <c:pt idx="80">
                  <c:v>38990</c:v>
                </c:pt>
                <c:pt idx="81">
                  <c:v>39021</c:v>
                </c:pt>
                <c:pt idx="82">
                  <c:v>39051</c:v>
                </c:pt>
                <c:pt idx="83">
                  <c:v>39082</c:v>
                </c:pt>
                <c:pt idx="84">
                  <c:v>39113</c:v>
                </c:pt>
                <c:pt idx="85">
                  <c:v>39141</c:v>
                </c:pt>
                <c:pt idx="86">
                  <c:v>39172</c:v>
                </c:pt>
                <c:pt idx="87">
                  <c:v>39202</c:v>
                </c:pt>
                <c:pt idx="88">
                  <c:v>39233</c:v>
                </c:pt>
                <c:pt idx="89">
                  <c:v>39263</c:v>
                </c:pt>
                <c:pt idx="90">
                  <c:v>39294</c:v>
                </c:pt>
                <c:pt idx="91">
                  <c:v>39325</c:v>
                </c:pt>
                <c:pt idx="92">
                  <c:v>39355</c:v>
                </c:pt>
                <c:pt idx="93">
                  <c:v>39386</c:v>
                </c:pt>
                <c:pt idx="94">
                  <c:v>39416</c:v>
                </c:pt>
                <c:pt idx="95">
                  <c:v>39447</c:v>
                </c:pt>
                <c:pt idx="96">
                  <c:v>39478</c:v>
                </c:pt>
                <c:pt idx="97">
                  <c:v>39507</c:v>
                </c:pt>
                <c:pt idx="98">
                  <c:v>39538</c:v>
                </c:pt>
                <c:pt idx="99">
                  <c:v>39568</c:v>
                </c:pt>
                <c:pt idx="100">
                  <c:v>39599</c:v>
                </c:pt>
                <c:pt idx="101">
                  <c:v>39629</c:v>
                </c:pt>
                <c:pt idx="102">
                  <c:v>39660</c:v>
                </c:pt>
                <c:pt idx="103">
                  <c:v>39691</c:v>
                </c:pt>
                <c:pt idx="104">
                  <c:v>39721</c:v>
                </c:pt>
                <c:pt idx="105">
                  <c:v>39752</c:v>
                </c:pt>
                <c:pt idx="106">
                  <c:v>39782</c:v>
                </c:pt>
                <c:pt idx="107">
                  <c:v>39813</c:v>
                </c:pt>
                <c:pt idx="108">
                  <c:v>39844</c:v>
                </c:pt>
                <c:pt idx="109">
                  <c:v>39872</c:v>
                </c:pt>
                <c:pt idx="110">
                  <c:v>39903</c:v>
                </c:pt>
                <c:pt idx="111">
                  <c:v>39933</c:v>
                </c:pt>
                <c:pt idx="112">
                  <c:v>39964</c:v>
                </c:pt>
                <c:pt idx="113">
                  <c:v>39994</c:v>
                </c:pt>
                <c:pt idx="114">
                  <c:v>40025</c:v>
                </c:pt>
                <c:pt idx="115">
                  <c:v>40056</c:v>
                </c:pt>
                <c:pt idx="116">
                  <c:v>40086</c:v>
                </c:pt>
                <c:pt idx="117">
                  <c:v>40117</c:v>
                </c:pt>
                <c:pt idx="118">
                  <c:v>40147</c:v>
                </c:pt>
                <c:pt idx="119">
                  <c:v>40178</c:v>
                </c:pt>
                <c:pt idx="120">
                  <c:v>40209</c:v>
                </c:pt>
                <c:pt idx="121">
                  <c:v>40237</c:v>
                </c:pt>
                <c:pt idx="122">
                  <c:v>40268</c:v>
                </c:pt>
                <c:pt idx="123">
                  <c:v>40298</c:v>
                </c:pt>
                <c:pt idx="124">
                  <c:v>40329</c:v>
                </c:pt>
                <c:pt idx="125">
                  <c:v>40359</c:v>
                </c:pt>
                <c:pt idx="126">
                  <c:v>40390</c:v>
                </c:pt>
                <c:pt idx="127">
                  <c:v>40421</c:v>
                </c:pt>
                <c:pt idx="128">
                  <c:v>40451</c:v>
                </c:pt>
                <c:pt idx="129">
                  <c:v>40482</c:v>
                </c:pt>
                <c:pt idx="130">
                  <c:v>40512</c:v>
                </c:pt>
                <c:pt idx="131">
                  <c:v>40543</c:v>
                </c:pt>
                <c:pt idx="132">
                  <c:v>40574</c:v>
                </c:pt>
                <c:pt idx="133">
                  <c:v>40602</c:v>
                </c:pt>
                <c:pt idx="134">
                  <c:v>40633</c:v>
                </c:pt>
                <c:pt idx="135">
                  <c:v>40663</c:v>
                </c:pt>
                <c:pt idx="136">
                  <c:v>40694</c:v>
                </c:pt>
                <c:pt idx="137">
                  <c:v>40724</c:v>
                </c:pt>
                <c:pt idx="138">
                  <c:v>40755</c:v>
                </c:pt>
                <c:pt idx="139">
                  <c:v>40786</c:v>
                </c:pt>
                <c:pt idx="140">
                  <c:v>40816</c:v>
                </c:pt>
                <c:pt idx="141">
                  <c:v>40847</c:v>
                </c:pt>
                <c:pt idx="142">
                  <c:v>40877</c:v>
                </c:pt>
                <c:pt idx="143">
                  <c:v>40908</c:v>
                </c:pt>
                <c:pt idx="144">
                  <c:v>40939</c:v>
                </c:pt>
                <c:pt idx="145">
                  <c:v>40968</c:v>
                </c:pt>
                <c:pt idx="146">
                  <c:v>40999</c:v>
                </c:pt>
                <c:pt idx="147">
                  <c:v>41029</c:v>
                </c:pt>
                <c:pt idx="148">
                  <c:v>41060</c:v>
                </c:pt>
                <c:pt idx="149">
                  <c:v>41090</c:v>
                </c:pt>
                <c:pt idx="150">
                  <c:v>41121</c:v>
                </c:pt>
                <c:pt idx="151">
                  <c:v>41152</c:v>
                </c:pt>
                <c:pt idx="152">
                  <c:v>41182</c:v>
                </c:pt>
                <c:pt idx="153">
                  <c:v>41213</c:v>
                </c:pt>
                <c:pt idx="154">
                  <c:v>41243</c:v>
                </c:pt>
                <c:pt idx="155">
                  <c:v>41274</c:v>
                </c:pt>
                <c:pt idx="156">
                  <c:v>41305</c:v>
                </c:pt>
                <c:pt idx="157">
                  <c:v>41333</c:v>
                </c:pt>
                <c:pt idx="158">
                  <c:v>41364</c:v>
                </c:pt>
                <c:pt idx="159">
                  <c:v>41394</c:v>
                </c:pt>
                <c:pt idx="160">
                  <c:v>41425</c:v>
                </c:pt>
                <c:pt idx="161">
                  <c:v>41455</c:v>
                </c:pt>
                <c:pt idx="162">
                  <c:v>41486</c:v>
                </c:pt>
                <c:pt idx="163">
                  <c:v>41517</c:v>
                </c:pt>
                <c:pt idx="164">
                  <c:v>41547</c:v>
                </c:pt>
                <c:pt idx="165">
                  <c:v>41578</c:v>
                </c:pt>
                <c:pt idx="166">
                  <c:v>41608</c:v>
                </c:pt>
                <c:pt idx="167">
                  <c:v>41639</c:v>
                </c:pt>
                <c:pt idx="168">
                  <c:v>41670</c:v>
                </c:pt>
                <c:pt idx="169">
                  <c:v>41698</c:v>
                </c:pt>
                <c:pt idx="170">
                  <c:v>41729</c:v>
                </c:pt>
                <c:pt idx="171">
                  <c:v>41759</c:v>
                </c:pt>
                <c:pt idx="172">
                  <c:v>41790</c:v>
                </c:pt>
                <c:pt idx="173">
                  <c:v>41820</c:v>
                </c:pt>
                <c:pt idx="174">
                  <c:v>41851</c:v>
                </c:pt>
                <c:pt idx="175">
                  <c:v>41882</c:v>
                </c:pt>
                <c:pt idx="176">
                  <c:v>41912</c:v>
                </c:pt>
                <c:pt idx="177">
                  <c:v>41943</c:v>
                </c:pt>
                <c:pt idx="178">
                  <c:v>41973</c:v>
                </c:pt>
                <c:pt idx="179">
                  <c:v>42004</c:v>
                </c:pt>
                <c:pt idx="180">
                  <c:v>42035</c:v>
                </c:pt>
                <c:pt idx="181">
                  <c:v>42063</c:v>
                </c:pt>
                <c:pt idx="182">
                  <c:v>42094</c:v>
                </c:pt>
                <c:pt idx="183">
                  <c:v>42124</c:v>
                </c:pt>
                <c:pt idx="184">
                  <c:v>42155</c:v>
                </c:pt>
                <c:pt idx="185">
                  <c:v>42185</c:v>
                </c:pt>
                <c:pt idx="186">
                  <c:v>42216</c:v>
                </c:pt>
                <c:pt idx="187">
                  <c:v>42247</c:v>
                </c:pt>
                <c:pt idx="188">
                  <c:v>42277</c:v>
                </c:pt>
                <c:pt idx="189">
                  <c:v>42308</c:v>
                </c:pt>
                <c:pt idx="190">
                  <c:v>42338</c:v>
                </c:pt>
                <c:pt idx="191">
                  <c:v>42369</c:v>
                </c:pt>
                <c:pt idx="192">
                  <c:v>42400</c:v>
                </c:pt>
                <c:pt idx="193">
                  <c:v>42429</c:v>
                </c:pt>
                <c:pt idx="194">
                  <c:v>42460</c:v>
                </c:pt>
                <c:pt idx="195">
                  <c:v>42490</c:v>
                </c:pt>
                <c:pt idx="196">
                  <c:v>42521</c:v>
                </c:pt>
                <c:pt idx="197">
                  <c:v>42551</c:v>
                </c:pt>
                <c:pt idx="198">
                  <c:v>42582</c:v>
                </c:pt>
                <c:pt idx="199">
                  <c:v>42613</c:v>
                </c:pt>
                <c:pt idx="200">
                  <c:v>42643</c:v>
                </c:pt>
                <c:pt idx="201">
                  <c:v>42674</c:v>
                </c:pt>
                <c:pt idx="202">
                  <c:v>42704</c:v>
                </c:pt>
                <c:pt idx="203">
                  <c:v>42735</c:v>
                </c:pt>
                <c:pt idx="204">
                  <c:v>42766</c:v>
                </c:pt>
                <c:pt idx="205">
                  <c:v>42794</c:v>
                </c:pt>
                <c:pt idx="206">
                  <c:v>42825</c:v>
                </c:pt>
                <c:pt idx="207">
                  <c:v>42855</c:v>
                </c:pt>
                <c:pt idx="208">
                  <c:v>42886</c:v>
                </c:pt>
                <c:pt idx="209">
                  <c:v>42916</c:v>
                </c:pt>
                <c:pt idx="210">
                  <c:v>42947</c:v>
                </c:pt>
                <c:pt idx="211">
                  <c:v>42978</c:v>
                </c:pt>
                <c:pt idx="212">
                  <c:v>43008</c:v>
                </c:pt>
                <c:pt idx="213">
                  <c:v>43039</c:v>
                </c:pt>
                <c:pt idx="214">
                  <c:v>43069</c:v>
                </c:pt>
                <c:pt idx="215">
                  <c:v>43100</c:v>
                </c:pt>
                <c:pt idx="216">
                  <c:v>43131</c:v>
                </c:pt>
                <c:pt idx="217">
                  <c:v>43159</c:v>
                </c:pt>
                <c:pt idx="218">
                  <c:v>43190</c:v>
                </c:pt>
                <c:pt idx="219">
                  <c:v>43220</c:v>
                </c:pt>
                <c:pt idx="220">
                  <c:v>43251</c:v>
                </c:pt>
                <c:pt idx="221">
                  <c:v>43281</c:v>
                </c:pt>
                <c:pt idx="222">
                  <c:v>43312</c:v>
                </c:pt>
                <c:pt idx="223">
                  <c:v>43343</c:v>
                </c:pt>
                <c:pt idx="224">
                  <c:v>43373</c:v>
                </c:pt>
                <c:pt idx="225">
                  <c:v>43404</c:v>
                </c:pt>
                <c:pt idx="226">
                  <c:v>43434</c:v>
                </c:pt>
                <c:pt idx="227">
                  <c:v>43465</c:v>
                </c:pt>
                <c:pt idx="228">
                  <c:v>43496</c:v>
                </c:pt>
                <c:pt idx="229">
                  <c:v>43524</c:v>
                </c:pt>
                <c:pt idx="230">
                  <c:v>43555</c:v>
                </c:pt>
                <c:pt idx="231">
                  <c:v>43585</c:v>
                </c:pt>
                <c:pt idx="232">
                  <c:v>43616</c:v>
                </c:pt>
                <c:pt idx="233">
                  <c:v>43646</c:v>
                </c:pt>
                <c:pt idx="234">
                  <c:v>43677</c:v>
                </c:pt>
                <c:pt idx="235">
                  <c:v>43708</c:v>
                </c:pt>
                <c:pt idx="236">
                  <c:v>43738</c:v>
                </c:pt>
                <c:pt idx="237">
                  <c:v>43769</c:v>
                </c:pt>
                <c:pt idx="238">
                  <c:v>43799</c:v>
                </c:pt>
                <c:pt idx="239">
                  <c:v>43830</c:v>
                </c:pt>
                <c:pt idx="240">
                  <c:v>43861</c:v>
                </c:pt>
                <c:pt idx="241">
                  <c:v>43890</c:v>
                </c:pt>
                <c:pt idx="242">
                  <c:v>43921</c:v>
                </c:pt>
                <c:pt idx="243">
                  <c:v>43951</c:v>
                </c:pt>
                <c:pt idx="244">
                  <c:v>43982</c:v>
                </c:pt>
                <c:pt idx="245">
                  <c:v>44012</c:v>
                </c:pt>
                <c:pt idx="246">
                  <c:v>44043</c:v>
                </c:pt>
                <c:pt idx="247">
                  <c:v>44074</c:v>
                </c:pt>
                <c:pt idx="248">
                  <c:v>44104</c:v>
                </c:pt>
                <c:pt idx="249">
                  <c:v>44135</c:v>
                </c:pt>
                <c:pt idx="250">
                  <c:v>44165</c:v>
                </c:pt>
                <c:pt idx="251">
                  <c:v>44196</c:v>
                </c:pt>
                <c:pt idx="252">
                  <c:v>44227</c:v>
                </c:pt>
                <c:pt idx="253">
                  <c:v>44255</c:v>
                </c:pt>
                <c:pt idx="254">
                  <c:v>44286</c:v>
                </c:pt>
                <c:pt idx="255">
                  <c:v>44316</c:v>
                </c:pt>
                <c:pt idx="256">
                  <c:v>44347</c:v>
                </c:pt>
                <c:pt idx="257">
                  <c:v>44377</c:v>
                </c:pt>
                <c:pt idx="258">
                  <c:v>44408</c:v>
                </c:pt>
                <c:pt idx="259">
                  <c:v>44439</c:v>
                </c:pt>
                <c:pt idx="260">
                  <c:v>44469</c:v>
                </c:pt>
                <c:pt idx="261">
                  <c:v>44500</c:v>
                </c:pt>
                <c:pt idx="262">
                  <c:v>44530</c:v>
                </c:pt>
                <c:pt idx="263">
                  <c:v>44561</c:v>
                </c:pt>
                <c:pt idx="264">
                  <c:v>44592</c:v>
                </c:pt>
                <c:pt idx="265">
                  <c:v>44620</c:v>
                </c:pt>
                <c:pt idx="266">
                  <c:v>44651</c:v>
                </c:pt>
                <c:pt idx="269">
                  <c:v>44469</c:v>
                </c:pt>
                <c:pt idx="270">
                  <c:v>44561</c:v>
                </c:pt>
                <c:pt idx="271">
                  <c:v>44651</c:v>
                </c:pt>
              </c:numCache>
            </c:numRef>
          </c:cat>
          <c:val>
            <c:numRef>
              <c:f>'EV-kindlustunne'!$C$2:$C$300</c:f>
              <c:numCache>
                <c:formatCode>General</c:formatCode>
                <c:ptCount val="299"/>
                <c:pt idx="0">
                  <c:v>112.4</c:v>
                </c:pt>
                <c:pt idx="1">
                  <c:v>114.6</c:v>
                </c:pt>
                <c:pt idx="2">
                  <c:v>115.9</c:v>
                </c:pt>
                <c:pt idx="3">
                  <c:v>116.3</c:v>
                </c:pt>
                <c:pt idx="4">
                  <c:v>117.1</c:v>
                </c:pt>
                <c:pt idx="5">
                  <c:v>115.2</c:v>
                </c:pt>
                <c:pt idx="6">
                  <c:v>115.7</c:v>
                </c:pt>
                <c:pt idx="7">
                  <c:v>115.9</c:v>
                </c:pt>
                <c:pt idx="8">
                  <c:v>113.7</c:v>
                </c:pt>
                <c:pt idx="9">
                  <c:v>114.1</c:v>
                </c:pt>
                <c:pt idx="10">
                  <c:v>112.6</c:v>
                </c:pt>
                <c:pt idx="11">
                  <c:v>112.1</c:v>
                </c:pt>
                <c:pt idx="12">
                  <c:v>112.6</c:v>
                </c:pt>
                <c:pt idx="13">
                  <c:v>109.3</c:v>
                </c:pt>
                <c:pt idx="14">
                  <c:v>107.8</c:v>
                </c:pt>
                <c:pt idx="15">
                  <c:v>106.9</c:v>
                </c:pt>
                <c:pt idx="16">
                  <c:v>103.6</c:v>
                </c:pt>
                <c:pt idx="17">
                  <c:v>102.7</c:v>
                </c:pt>
                <c:pt idx="18">
                  <c:v>101.9</c:v>
                </c:pt>
                <c:pt idx="19">
                  <c:v>99.4</c:v>
                </c:pt>
                <c:pt idx="20">
                  <c:v>96</c:v>
                </c:pt>
                <c:pt idx="21">
                  <c:v>91.9</c:v>
                </c:pt>
                <c:pt idx="22">
                  <c:v>88.6</c:v>
                </c:pt>
                <c:pt idx="23">
                  <c:v>90.5</c:v>
                </c:pt>
                <c:pt idx="24">
                  <c:v>93.9</c:v>
                </c:pt>
                <c:pt idx="25">
                  <c:v>93.9</c:v>
                </c:pt>
                <c:pt idx="26">
                  <c:v>95.7</c:v>
                </c:pt>
                <c:pt idx="27">
                  <c:v>97.2</c:v>
                </c:pt>
                <c:pt idx="28">
                  <c:v>97.6</c:v>
                </c:pt>
                <c:pt idx="29">
                  <c:v>96.1</c:v>
                </c:pt>
                <c:pt idx="30">
                  <c:v>94.9</c:v>
                </c:pt>
                <c:pt idx="31">
                  <c:v>93.1</c:v>
                </c:pt>
                <c:pt idx="32">
                  <c:v>95.1</c:v>
                </c:pt>
                <c:pt idx="33">
                  <c:v>93.3</c:v>
                </c:pt>
                <c:pt idx="34">
                  <c:v>92.6</c:v>
                </c:pt>
                <c:pt idx="35">
                  <c:v>91.1</c:v>
                </c:pt>
                <c:pt idx="36">
                  <c:v>91.8</c:v>
                </c:pt>
                <c:pt idx="37">
                  <c:v>91.7</c:v>
                </c:pt>
                <c:pt idx="38">
                  <c:v>89.7</c:v>
                </c:pt>
                <c:pt idx="39">
                  <c:v>92.2</c:v>
                </c:pt>
                <c:pt idx="40">
                  <c:v>91.6</c:v>
                </c:pt>
                <c:pt idx="41">
                  <c:v>92.6</c:v>
                </c:pt>
                <c:pt idx="42">
                  <c:v>92.9</c:v>
                </c:pt>
                <c:pt idx="43">
                  <c:v>94.7</c:v>
                </c:pt>
                <c:pt idx="44">
                  <c:v>96</c:v>
                </c:pt>
                <c:pt idx="45">
                  <c:v>97.5</c:v>
                </c:pt>
                <c:pt idx="46">
                  <c:v>98.9</c:v>
                </c:pt>
                <c:pt idx="47">
                  <c:v>98.2</c:v>
                </c:pt>
                <c:pt idx="48">
                  <c:v>97.7</c:v>
                </c:pt>
                <c:pt idx="49">
                  <c:v>98.5</c:v>
                </c:pt>
                <c:pt idx="50">
                  <c:v>97.9</c:v>
                </c:pt>
                <c:pt idx="51">
                  <c:v>99.9</c:v>
                </c:pt>
                <c:pt idx="52">
                  <c:v>100.3</c:v>
                </c:pt>
                <c:pt idx="53">
                  <c:v>101.1</c:v>
                </c:pt>
                <c:pt idx="54">
                  <c:v>101.3</c:v>
                </c:pt>
                <c:pt idx="55">
                  <c:v>100.7</c:v>
                </c:pt>
                <c:pt idx="56">
                  <c:v>102</c:v>
                </c:pt>
                <c:pt idx="57">
                  <c:v>102.6</c:v>
                </c:pt>
                <c:pt idx="58">
                  <c:v>101.4</c:v>
                </c:pt>
                <c:pt idx="59">
                  <c:v>100.7</c:v>
                </c:pt>
                <c:pt idx="60">
                  <c:v>101.3</c:v>
                </c:pt>
                <c:pt idx="61">
                  <c:v>99.5</c:v>
                </c:pt>
                <c:pt idx="62">
                  <c:v>98.6</c:v>
                </c:pt>
                <c:pt idx="63">
                  <c:v>98.4</c:v>
                </c:pt>
                <c:pt idx="64">
                  <c:v>97.6</c:v>
                </c:pt>
                <c:pt idx="65">
                  <c:v>97.6</c:v>
                </c:pt>
                <c:pt idx="66">
                  <c:v>98.5</c:v>
                </c:pt>
                <c:pt idx="67">
                  <c:v>99.3</c:v>
                </c:pt>
                <c:pt idx="68">
                  <c:v>99.7</c:v>
                </c:pt>
                <c:pt idx="69">
                  <c:v>101.5</c:v>
                </c:pt>
                <c:pt idx="70">
                  <c:v>101.5</c:v>
                </c:pt>
                <c:pt idx="71">
                  <c:v>102.2</c:v>
                </c:pt>
                <c:pt idx="72">
                  <c:v>103.9</c:v>
                </c:pt>
                <c:pt idx="73">
                  <c:v>103.6</c:v>
                </c:pt>
                <c:pt idx="74">
                  <c:v>105.1</c:v>
                </c:pt>
                <c:pt idx="75">
                  <c:v>107.1</c:v>
                </c:pt>
                <c:pt idx="76">
                  <c:v>107.9</c:v>
                </c:pt>
                <c:pt idx="77">
                  <c:v>108.3</c:v>
                </c:pt>
                <c:pt idx="78">
                  <c:v>108.8</c:v>
                </c:pt>
                <c:pt idx="79">
                  <c:v>109.1</c:v>
                </c:pt>
                <c:pt idx="80">
                  <c:v>109.5</c:v>
                </c:pt>
                <c:pt idx="81">
                  <c:v>110.2</c:v>
                </c:pt>
                <c:pt idx="82">
                  <c:v>110.3</c:v>
                </c:pt>
                <c:pt idx="83">
                  <c:v>111.1</c:v>
                </c:pt>
                <c:pt idx="84">
                  <c:v>109.8</c:v>
                </c:pt>
                <c:pt idx="85">
                  <c:v>110.1</c:v>
                </c:pt>
                <c:pt idx="86">
                  <c:v>111.2</c:v>
                </c:pt>
                <c:pt idx="87">
                  <c:v>111.7</c:v>
                </c:pt>
                <c:pt idx="88">
                  <c:v>111.9</c:v>
                </c:pt>
                <c:pt idx="89">
                  <c:v>111.8</c:v>
                </c:pt>
                <c:pt idx="90">
                  <c:v>111.3</c:v>
                </c:pt>
                <c:pt idx="91">
                  <c:v>110.3</c:v>
                </c:pt>
                <c:pt idx="92">
                  <c:v>108.4</c:v>
                </c:pt>
                <c:pt idx="93">
                  <c:v>107.3</c:v>
                </c:pt>
                <c:pt idx="94">
                  <c:v>106.2</c:v>
                </c:pt>
                <c:pt idx="95">
                  <c:v>105</c:v>
                </c:pt>
                <c:pt idx="96">
                  <c:v>103.6</c:v>
                </c:pt>
                <c:pt idx="97">
                  <c:v>102.2</c:v>
                </c:pt>
                <c:pt idx="98">
                  <c:v>102</c:v>
                </c:pt>
                <c:pt idx="99">
                  <c:v>100</c:v>
                </c:pt>
                <c:pt idx="100">
                  <c:v>99.6</c:v>
                </c:pt>
                <c:pt idx="101">
                  <c:v>96.3</c:v>
                </c:pt>
                <c:pt idx="102">
                  <c:v>93.4</c:v>
                </c:pt>
                <c:pt idx="103">
                  <c:v>91.6</c:v>
                </c:pt>
                <c:pt idx="104">
                  <c:v>90.8</c:v>
                </c:pt>
                <c:pt idx="105">
                  <c:v>84.7</c:v>
                </c:pt>
                <c:pt idx="106">
                  <c:v>79.599999999999994</c:v>
                </c:pt>
                <c:pt idx="107">
                  <c:v>73</c:v>
                </c:pt>
                <c:pt idx="108">
                  <c:v>72.2</c:v>
                </c:pt>
                <c:pt idx="109">
                  <c:v>69.5</c:v>
                </c:pt>
                <c:pt idx="110">
                  <c:v>67.900000000000006</c:v>
                </c:pt>
                <c:pt idx="111">
                  <c:v>69.3</c:v>
                </c:pt>
                <c:pt idx="112">
                  <c:v>72.400000000000006</c:v>
                </c:pt>
                <c:pt idx="113">
                  <c:v>75.099999999999994</c:v>
                </c:pt>
                <c:pt idx="114">
                  <c:v>77.8</c:v>
                </c:pt>
                <c:pt idx="115">
                  <c:v>81.8</c:v>
                </c:pt>
                <c:pt idx="116">
                  <c:v>84.2</c:v>
                </c:pt>
                <c:pt idx="117">
                  <c:v>86.9</c:v>
                </c:pt>
                <c:pt idx="118">
                  <c:v>89.3</c:v>
                </c:pt>
                <c:pt idx="119">
                  <c:v>91.9</c:v>
                </c:pt>
                <c:pt idx="120">
                  <c:v>93.6</c:v>
                </c:pt>
                <c:pt idx="121">
                  <c:v>94.7</c:v>
                </c:pt>
                <c:pt idx="122">
                  <c:v>96.7</c:v>
                </c:pt>
                <c:pt idx="123">
                  <c:v>99.1</c:v>
                </c:pt>
                <c:pt idx="124">
                  <c:v>97.6</c:v>
                </c:pt>
                <c:pt idx="125">
                  <c:v>98.1</c:v>
                </c:pt>
                <c:pt idx="126">
                  <c:v>99.8</c:v>
                </c:pt>
                <c:pt idx="127">
                  <c:v>100.3</c:v>
                </c:pt>
                <c:pt idx="128">
                  <c:v>101.2</c:v>
                </c:pt>
                <c:pt idx="129">
                  <c:v>102.1</c:v>
                </c:pt>
                <c:pt idx="130">
                  <c:v>103.8</c:v>
                </c:pt>
                <c:pt idx="131">
                  <c:v>105.1</c:v>
                </c:pt>
                <c:pt idx="132">
                  <c:v>105.3</c:v>
                </c:pt>
                <c:pt idx="133">
                  <c:v>106.7</c:v>
                </c:pt>
                <c:pt idx="134">
                  <c:v>105.8</c:v>
                </c:pt>
                <c:pt idx="135">
                  <c:v>104.3</c:v>
                </c:pt>
                <c:pt idx="136">
                  <c:v>103.1</c:v>
                </c:pt>
                <c:pt idx="137">
                  <c:v>102.9</c:v>
                </c:pt>
                <c:pt idx="138">
                  <c:v>100.8</c:v>
                </c:pt>
                <c:pt idx="139">
                  <c:v>96.9</c:v>
                </c:pt>
                <c:pt idx="140">
                  <c:v>93.7</c:v>
                </c:pt>
                <c:pt idx="141">
                  <c:v>93</c:v>
                </c:pt>
                <c:pt idx="142">
                  <c:v>92.9</c:v>
                </c:pt>
                <c:pt idx="143">
                  <c:v>91.8</c:v>
                </c:pt>
                <c:pt idx="144">
                  <c:v>92.1</c:v>
                </c:pt>
                <c:pt idx="145">
                  <c:v>93.3</c:v>
                </c:pt>
                <c:pt idx="146">
                  <c:v>94</c:v>
                </c:pt>
                <c:pt idx="147">
                  <c:v>92.3</c:v>
                </c:pt>
                <c:pt idx="148">
                  <c:v>89.9</c:v>
                </c:pt>
                <c:pt idx="149">
                  <c:v>89.5</c:v>
                </c:pt>
                <c:pt idx="150">
                  <c:v>87.8</c:v>
                </c:pt>
                <c:pt idx="151">
                  <c:v>86.4</c:v>
                </c:pt>
                <c:pt idx="152">
                  <c:v>84.9</c:v>
                </c:pt>
                <c:pt idx="153">
                  <c:v>84.2</c:v>
                </c:pt>
                <c:pt idx="154">
                  <c:v>85.3</c:v>
                </c:pt>
                <c:pt idx="155">
                  <c:v>86.4</c:v>
                </c:pt>
                <c:pt idx="156">
                  <c:v>87.7</c:v>
                </c:pt>
                <c:pt idx="157">
                  <c:v>88.6</c:v>
                </c:pt>
                <c:pt idx="158">
                  <c:v>88.5</c:v>
                </c:pt>
                <c:pt idx="159">
                  <c:v>86.8</c:v>
                </c:pt>
                <c:pt idx="160">
                  <c:v>87.6</c:v>
                </c:pt>
                <c:pt idx="161">
                  <c:v>89.1</c:v>
                </c:pt>
                <c:pt idx="162">
                  <c:v>90.1</c:v>
                </c:pt>
                <c:pt idx="163">
                  <c:v>92.1</c:v>
                </c:pt>
                <c:pt idx="164">
                  <c:v>94.8</c:v>
                </c:pt>
                <c:pt idx="165">
                  <c:v>95.5</c:v>
                </c:pt>
                <c:pt idx="166">
                  <c:v>96.9</c:v>
                </c:pt>
                <c:pt idx="167">
                  <c:v>98.3</c:v>
                </c:pt>
                <c:pt idx="168">
                  <c:v>99</c:v>
                </c:pt>
                <c:pt idx="169">
                  <c:v>99.2</c:v>
                </c:pt>
                <c:pt idx="170">
                  <c:v>100.3</c:v>
                </c:pt>
                <c:pt idx="171">
                  <c:v>100</c:v>
                </c:pt>
                <c:pt idx="172">
                  <c:v>100.3</c:v>
                </c:pt>
                <c:pt idx="173">
                  <c:v>100.1</c:v>
                </c:pt>
                <c:pt idx="174">
                  <c:v>100.1</c:v>
                </c:pt>
                <c:pt idx="175">
                  <c:v>99.3</c:v>
                </c:pt>
                <c:pt idx="176">
                  <c:v>98.5</c:v>
                </c:pt>
                <c:pt idx="177">
                  <c:v>99.4</c:v>
                </c:pt>
                <c:pt idx="178">
                  <c:v>99.3</c:v>
                </c:pt>
                <c:pt idx="179">
                  <c:v>99.6</c:v>
                </c:pt>
                <c:pt idx="180">
                  <c:v>99.8</c:v>
                </c:pt>
                <c:pt idx="181">
                  <c:v>100.7</c:v>
                </c:pt>
                <c:pt idx="182">
                  <c:v>101.7</c:v>
                </c:pt>
                <c:pt idx="183">
                  <c:v>102.1</c:v>
                </c:pt>
                <c:pt idx="184">
                  <c:v>102.3</c:v>
                </c:pt>
                <c:pt idx="185">
                  <c:v>102.3</c:v>
                </c:pt>
                <c:pt idx="186">
                  <c:v>102.7</c:v>
                </c:pt>
                <c:pt idx="187">
                  <c:v>103.1</c:v>
                </c:pt>
                <c:pt idx="188">
                  <c:v>104.2</c:v>
                </c:pt>
                <c:pt idx="189">
                  <c:v>105</c:v>
                </c:pt>
                <c:pt idx="190">
                  <c:v>105.1</c:v>
                </c:pt>
                <c:pt idx="191">
                  <c:v>105.6</c:v>
                </c:pt>
                <c:pt idx="192">
                  <c:v>104.8</c:v>
                </c:pt>
                <c:pt idx="193">
                  <c:v>103.4</c:v>
                </c:pt>
                <c:pt idx="194">
                  <c:v>102.4</c:v>
                </c:pt>
                <c:pt idx="195">
                  <c:v>103.2</c:v>
                </c:pt>
                <c:pt idx="196">
                  <c:v>103.4</c:v>
                </c:pt>
                <c:pt idx="197">
                  <c:v>103.6</c:v>
                </c:pt>
                <c:pt idx="198">
                  <c:v>103.7</c:v>
                </c:pt>
                <c:pt idx="199">
                  <c:v>103</c:v>
                </c:pt>
                <c:pt idx="200">
                  <c:v>103.8</c:v>
                </c:pt>
                <c:pt idx="201">
                  <c:v>105.2</c:v>
                </c:pt>
                <c:pt idx="202">
                  <c:v>105.6</c:v>
                </c:pt>
                <c:pt idx="203">
                  <c:v>106.9</c:v>
                </c:pt>
                <c:pt idx="204">
                  <c:v>107</c:v>
                </c:pt>
                <c:pt idx="205">
                  <c:v>106.9</c:v>
                </c:pt>
                <c:pt idx="206">
                  <c:v>106.7</c:v>
                </c:pt>
                <c:pt idx="207">
                  <c:v>108.1</c:v>
                </c:pt>
                <c:pt idx="208">
                  <c:v>108.3</c:v>
                </c:pt>
                <c:pt idx="209">
                  <c:v>109.7</c:v>
                </c:pt>
                <c:pt idx="210">
                  <c:v>110.7</c:v>
                </c:pt>
                <c:pt idx="211">
                  <c:v>110.8</c:v>
                </c:pt>
                <c:pt idx="212">
                  <c:v>111.8</c:v>
                </c:pt>
                <c:pt idx="213">
                  <c:v>112.9</c:v>
                </c:pt>
                <c:pt idx="214">
                  <c:v>113.2</c:v>
                </c:pt>
                <c:pt idx="215">
                  <c:v>114.1</c:v>
                </c:pt>
                <c:pt idx="216">
                  <c:v>113.6</c:v>
                </c:pt>
                <c:pt idx="217">
                  <c:v>113.4</c:v>
                </c:pt>
                <c:pt idx="218">
                  <c:v>111.8</c:v>
                </c:pt>
                <c:pt idx="219">
                  <c:v>112.1</c:v>
                </c:pt>
                <c:pt idx="220">
                  <c:v>111.4</c:v>
                </c:pt>
                <c:pt idx="221">
                  <c:v>111.7</c:v>
                </c:pt>
                <c:pt idx="222">
                  <c:v>111.3</c:v>
                </c:pt>
                <c:pt idx="223">
                  <c:v>111</c:v>
                </c:pt>
                <c:pt idx="224">
                  <c:v>110.4</c:v>
                </c:pt>
                <c:pt idx="225">
                  <c:v>109.6</c:v>
                </c:pt>
                <c:pt idx="226">
                  <c:v>109.4</c:v>
                </c:pt>
                <c:pt idx="227">
                  <c:v>107.7</c:v>
                </c:pt>
                <c:pt idx="228">
                  <c:v>106.3</c:v>
                </c:pt>
                <c:pt idx="229">
                  <c:v>106.3</c:v>
                </c:pt>
                <c:pt idx="230">
                  <c:v>105.8</c:v>
                </c:pt>
                <c:pt idx="231">
                  <c:v>104.2</c:v>
                </c:pt>
                <c:pt idx="232">
                  <c:v>105.2</c:v>
                </c:pt>
                <c:pt idx="233">
                  <c:v>103.5</c:v>
                </c:pt>
                <c:pt idx="234">
                  <c:v>102.8</c:v>
                </c:pt>
                <c:pt idx="235">
                  <c:v>103</c:v>
                </c:pt>
                <c:pt idx="236">
                  <c:v>101.7</c:v>
                </c:pt>
                <c:pt idx="237">
                  <c:v>100.9</c:v>
                </c:pt>
                <c:pt idx="238">
                  <c:v>101.4</c:v>
                </c:pt>
                <c:pt idx="239">
                  <c:v>101.5</c:v>
                </c:pt>
                <c:pt idx="240">
                  <c:v>102.9</c:v>
                </c:pt>
                <c:pt idx="241">
                  <c:v>103.6</c:v>
                </c:pt>
                <c:pt idx="242">
                  <c:v>95.5</c:v>
                </c:pt>
                <c:pt idx="243">
                  <c:v>67.099999999999994</c:v>
                </c:pt>
                <c:pt idx="244">
                  <c:v>69.5</c:v>
                </c:pt>
                <c:pt idx="245">
                  <c:v>77.400000000000006</c:v>
                </c:pt>
                <c:pt idx="246">
                  <c:v>83.6</c:v>
                </c:pt>
                <c:pt idx="247">
                  <c:v>88.1</c:v>
                </c:pt>
                <c:pt idx="248">
                  <c:v>91.1</c:v>
                </c:pt>
                <c:pt idx="249">
                  <c:v>91.2</c:v>
                </c:pt>
                <c:pt idx="250">
                  <c:v>88</c:v>
                </c:pt>
                <c:pt idx="251">
                  <c:v>91.1</c:v>
                </c:pt>
                <c:pt idx="252">
                  <c:v>90.5</c:v>
                </c:pt>
                <c:pt idx="253">
                  <c:v>92.4</c:v>
                </c:pt>
                <c:pt idx="254">
                  <c:v>99</c:v>
                </c:pt>
                <c:pt idx="255">
                  <c:v>108.8</c:v>
                </c:pt>
                <c:pt idx="256">
                  <c:v>112.8</c:v>
                </c:pt>
                <c:pt idx="257">
                  <c:v>115.8</c:v>
                </c:pt>
                <c:pt idx="258">
                  <c:v>116.6</c:v>
                </c:pt>
                <c:pt idx="259">
                  <c:v>115.3</c:v>
                </c:pt>
                <c:pt idx="260">
                  <c:v>115.3</c:v>
                </c:pt>
                <c:pt idx="261">
                  <c:v>116.2</c:v>
                </c:pt>
                <c:pt idx="262">
                  <c:v>115.2</c:v>
                </c:pt>
                <c:pt idx="263">
                  <c:v>113</c:v>
                </c:pt>
                <c:pt idx="264">
                  <c:v>111.6</c:v>
                </c:pt>
                <c:pt idx="265">
                  <c:v>112.8</c:v>
                </c:pt>
                <c:pt idx="266">
                  <c:v>107.5</c:v>
                </c:pt>
                <c:pt idx="268">
                  <c:v>0</c:v>
                </c:pt>
                <c:pt idx="269">
                  <c:v>115.3</c:v>
                </c:pt>
                <c:pt idx="270">
                  <c:v>113</c:v>
                </c:pt>
                <c:pt idx="271">
                  <c:v>107.5</c:v>
                </c:pt>
              </c:numCache>
            </c:numRef>
          </c:val>
          <c:smooth val="0"/>
          <c:extLst>
            <c:ext xmlns:c16="http://schemas.microsoft.com/office/drawing/2014/chart" uri="{C3380CC4-5D6E-409C-BE32-E72D297353CC}">
              <c16:uniqueId val="{00000000-7373-4929-A231-630B9121F2C9}"/>
            </c:ext>
          </c:extLst>
        </c:ser>
        <c:ser>
          <c:idx val="0"/>
          <c:order val="1"/>
          <c:tx>
            <c:strRef>
              <c:f>'EV-kindlustunne'!$J$1</c:f>
              <c:strCache>
                <c:ptCount val="1"/>
                <c:pt idx="0">
                  <c:v>Eesti</c:v>
                </c:pt>
              </c:strCache>
            </c:strRef>
          </c:tx>
          <c:spPr>
            <a:ln w="28575" cap="rnd">
              <a:solidFill>
                <a:schemeClr val="accent1"/>
              </a:solidFill>
              <a:round/>
            </a:ln>
            <a:effectLst/>
          </c:spPr>
          <c:marker>
            <c:symbol val="none"/>
          </c:marker>
          <c:cat>
            <c:numRef>
              <c:f>'EV-kindlustunne'!$A$2:$A$300</c:f>
              <c:numCache>
                <c:formatCode>m/d/yyyy</c:formatCode>
                <c:ptCount val="299"/>
                <c:pt idx="0">
                  <c:v>36556</c:v>
                </c:pt>
                <c:pt idx="1">
                  <c:v>36585</c:v>
                </c:pt>
                <c:pt idx="2">
                  <c:v>36616</c:v>
                </c:pt>
                <c:pt idx="3">
                  <c:v>36646</c:v>
                </c:pt>
                <c:pt idx="4">
                  <c:v>36677</c:v>
                </c:pt>
                <c:pt idx="5">
                  <c:v>36707</c:v>
                </c:pt>
                <c:pt idx="6">
                  <c:v>36738</c:v>
                </c:pt>
                <c:pt idx="7">
                  <c:v>36769</c:v>
                </c:pt>
                <c:pt idx="8">
                  <c:v>36799</c:v>
                </c:pt>
                <c:pt idx="9">
                  <c:v>36830</c:v>
                </c:pt>
                <c:pt idx="10">
                  <c:v>36860</c:v>
                </c:pt>
                <c:pt idx="11">
                  <c:v>36891</c:v>
                </c:pt>
                <c:pt idx="12">
                  <c:v>36922</c:v>
                </c:pt>
                <c:pt idx="13">
                  <c:v>36950</c:v>
                </c:pt>
                <c:pt idx="14">
                  <c:v>36981</c:v>
                </c:pt>
                <c:pt idx="15">
                  <c:v>37011</c:v>
                </c:pt>
                <c:pt idx="16">
                  <c:v>37042</c:v>
                </c:pt>
                <c:pt idx="17">
                  <c:v>37072</c:v>
                </c:pt>
                <c:pt idx="18">
                  <c:v>37103</c:v>
                </c:pt>
                <c:pt idx="19">
                  <c:v>37134</c:v>
                </c:pt>
                <c:pt idx="20">
                  <c:v>37164</c:v>
                </c:pt>
                <c:pt idx="21">
                  <c:v>37195</c:v>
                </c:pt>
                <c:pt idx="22">
                  <c:v>37225</c:v>
                </c:pt>
                <c:pt idx="23">
                  <c:v>37256</c:v>
                </c:pt>
                <c:pt idx="24">
                  <c:v>37287</c:v>
                </c:pt>
                <c:pt idx="25">
                  <c:v>37315</c:v>
                </c:pt>
                <c:pt idx="26">
                  <c:v>37346</c:v>
                </c:pt>
                <c:pt idx="27">
                  <c:v>37376</c:v>
                </c:pt>
                <c:pt idx="28">
                  <c:v>37407</c:v>
                </c:pt>
                <c:pt idx="29">
                  <c:v>37437</c:v>
                </c:pt>
                <c:pt idx="30">
                  <c:v>37468</c:v>
                </c:pt>
                <c:pt idx="31">
                  <c:v>37499</c:v>
                </c:pt>
                <c:pt idx="32">
                  <c:v>37529</c:v>
                </c:pt>
                <c:pt idx="33">
                  <c:v>37560</c:v>
                </c:pt>
                <c:pt idx="34">
                  <c:v>37590</c:v>
                </c:pt>
                <c:pt idx="35">
                  <c:v>37621</c:v>
                </c:pt>
                <c:pt idx="36">
                  <c:v>37652</c:v>
                </c:pt>
                <c:pt idx="37">
                  <c:v>37680</c:v>
                </c:pt>
                <c:pt idx="38">
                  <c:v>37711</c:v>
                </c:pt>
                <c:pt idx="39">
                  <c:v>37741</c:v>
                </c:pt>
                <c:pt idx="40">
                  <c:v>37772</c:v>
                </c:pt>
                <c:pt idx="41">
                  <c:v>37802</c:v>
                </c:pt>
                <c:pt idx="42">
                  <c:v>37833</c:v>
                </c:pt>
                <c:pt idx="43">
                  <c:v>37864</c:v>
                </c:pt>
                <c:pt idx="44">
                  <c:v>37894</c:v>
                </c:pt>
                <c:pt idx="45">
                  <c:v>37925</c:v>
                </c:pt>
                <c:pt idx="46">
                  <c:v>37955</c:v>
                </c:pt>
                <c:pt idx="47">
                  <c:v>37986</c:v>
                </c:pt>
                <c:pt idx="48">
                  <c:v>38017</c:v>
                </c:pt>
                <c:pt idx="49">
                  <c:v>38046</c:v>
                </c:pt>
                <c:pt idx="50">
                  <c:v>38077</c:v>
                </c:pt>
                <c:pt idx="51">
                  <c:v>38107</c:v>
                </c:pt>
                <c:pt idx="52">
                  <c:v>38138</c:v>
                </c:pt>
                <c:pt idx="53">
                  <c:v>38168</c:v>
                </c:pt>
                <c:pt idx="54">
                  <c:v>38199</c:v>
                </c:pt>
                <c:pt idx="55">
                  <c:v>38230</c:v>
                </c:pt>
                <c:pt idx="56">
                  <c:v>38260</c:v>
                </c:pt>
                <c:pt idx="57">
                  <c:v>38291</c:v>
                </c:pt>
                <c:pt idx="58">
                  <c:v>38321</c:v>
                </c:pt>
                <c:pt idx="59">
                  <c:v>38352</c:v>
                </c:pt>
                <c:pt idx="60">
                  <c:v>38383</c:v>
                </c:pt>
                <c:pt idx="61">
                  <c:v>38411</c:v>
                </c:pt>
                <c:pt idx="62">
                  <c:v>38442</c:v>
                </c:pt>
                <c:pt idx="63">
                  <c:v>38472</c:v>
                </c:pt>
                <c:pt idx="64">
                  <c:v>38503</c:v>
                </c:pt>
                <c:pt idx="65">
                  <c:v>38533</c:v>
                </c:pt>
                <c:pt idx="66">
                  <c:v>38564</c:v>
                </c:pt>
                <c:pt idx="67">
                  <c:v>38595</c:v>
                </c:pt>
                <c:pt idx="68">
                  <c:v>38625</c:v>
                </c:pt>
                <c:pt idx="69">
                  <c:v>38656</c:v>
                </c:pt>
                <c:pt idx="70">
                  <c:v>38686</c:v>
                </c:pt>
                <c:pt idx="71">
                  <c:v>38717</c:v>
                </c:pt>
                <c:pt idx="72">
                  <c:v>38748</c:v>
                </c:pt>
                <c:pt idx="73">
                  <c:v>38776</c:v>
                </c:pt>
                <c:pt idx="74">
                  <c:v>38807</c:v>
                </c:pt>
                <c:pt idx="75">
                  <c:v>38837</c:v>
                </c:pt>
                <c:pt idx="76">
                  <c:v>38868</c:v>
                </c:pt>
                <c:pt idx="77">
                  <c:v>38898</c:v>
                </c:pt>
                <c:pt idx="78">
                  <c:v>38929</c:v>
                </c:pt>
                <c:pt idx="79">
                  <c:v>38960</c:v>
                </c:pt>
                <c:pt idx="80">
                  <c:v>38990</c:v>
                </c:pt>
                <c:pt idx="81">
                  <c:v>39021</c:v>
                </c:pt>
                <c:pt idx="82">
                  <c:v>39051</c:v>
                </c:pt>
                <c:pt idx="83">
                  <c:v>39082</c:v>
                </c:pt>
                <c:pt idx="84">
                  <c:v>39113</c:v>
                </c:pt>
                <c:pt idx="85">
                  <c:v>39141</c:v>
                </c:pt>
                <c:pt idx="86">
                  <c:v>39172</c:v>
                </c:pt>
                <c:pt idx="87">
                  <c:v>39202</c:v>
                </c:pt>
                <c:pt idx="88">
                  <c:v>39233</c:v>
                </c:pt>
                <c:pt idx="89">
                  <c:v>39263</c:v>
                </c:pt>
                <c:pt idx="90">
                  <c:v>39294</c:v>
                </c:pt>
                <c:pt idx="91">
                  <c:v>39325</c:v>
                </c:pt>
                <c:pt idx="92">
                  <c:v>39355</c:v>
                </c:pt>
                <c:pt idx="93">
                  <c:v>39386</c:v>
                </c:pt>
                <c:pt idx="94">
                  <c:v>39416</c:v>
                </c:pt>
                <c:pt idx="95">
                  <c:v>39447</c:v>
                </c:pt>
                <c:pt idx="96">
                  <c:v>39478</c:v>
                </c:pt>
                <c:pt idx="97">
                  <c:v>39507</c:v>
                </c:pt>
                <c:pt idx="98">
                  <c:v>39538</c:v>
                </c:pt>
                <c:pt idx="99">
                  <c:v>39568</c:v>
                </c:pt>
                <c:pt idx="100">
                  <c:v>39599</c:v>
                </c:pt>
                <c:pt idx="101">
                  <c:v>39629</c:v>
                </c:pt>
                <c:pt idx="102">
                  <c:v>39660</c:v>
                </c:pt>
                <c:pt idx="103">
                  <c:v>39691</c:v>
                </c:pt>
                <c:pt idx="104">
                  <c:v>39721</c:v>
                </c:pt>
                <c:pt idx="105">
                  <c:v>39752</c:v>
                </c:pt>
                <c:pt idx="106">
                  <c:v>39782</c:v>
                </c:pt>
                <c:pt idx="107">
                  <c:v>39813</c:v>
                </c:pt>
                <c:pt idx="108">
                  <c:v>39844</c:v>
                </c:pt>
                <c:pt idx="109">
                  <c:v>39872</c:v>
                </c:pt>
                <c:pt idx="110">
                  <c:v>39903</c:v>
                </c:pt>
                <c:pt idx="111">
                  <c:v>39933</c:v>
                </c:pt>
                <c:pt idx="112">
                  <c:v>39964</c:v>
                </c:pt>
                <c:pt idx="113">
                  <c:v>39994</c:v>
                </c:pt>
                <c:pt idx="114">
                  <c:v>40025</c:v>
                </c:pt>
                <c:pt idx="115">
                  <c:v>40056</c:v>
                </c:pt>
                <c:pt idx="116">
                  <c:v>40086</c:v>
                </c:pt>
                <c:pt idx="117">
                  <c:v>40117</c:v>
                </c:pt>
                <c:pt idx="118">
                  <c:v>40147</c:v>
                </c:pt>
                <c:pt idx="119">
                  <c:v>40178</c:v>
                </c:pt>
                <c:pt idx="120">
                  <c:v>40209</c:v>
                </c:pt>
                <c:pt idx="121">
                  <c:v>40237</c:v>
                </c:pt>
                <c:pt idx="122">
                  <c:v>40268</c:v>
                </c:pt>
                <c:pt idx="123">
                  <c:v>40298</c:v>
                </c:pt>
                <c:pt idx="124">
                  <c:v>40329</c:v>
                </c:pt>
                <c:pt idx="125">
                  <c:v>40359</c:v>
                </c:pt>
                <c:pt idx="126">
                  <c:v>40390</c:v>
                </c:pt>
                <c:pt idx="127">
                  <c:v>40421</c:v>
                </c:pt>
                <c:pt idx="128">
                  <c:v>40451</c:v>
                </c:pt>
                <c:pt idx="129">
                  <c:v>40482</c:v>
                </c:pt>
                <c:pt idx="130">
                  <c:v>40512</c:v>
                </c:pt>
                <c:pt idx="131">
                  <c:v>40543</c:v>
                </c:pt>
                <c:pt idx="132">
                  <c:v>40574</c:v>
                </c:pt>
                <c:pt idx="133">
                  <c:v>40602</c:v>
                </c:pt>
                <c:pt idx="134">
                  <c:v>40633</c:v>
                </c:pt>
                <c:pt idx="135">
                  <c:v>40663</c:v>
                </c:pt>
                <c:pt idx="136">
                  <c:v>40694</c:v>
                </c:pt>
                <c:pt idx="137">
                  <c:v>40724</c:v>
                </c:pt>
                <c:pt idx="138">
                  <c:v>40755</c:v>
                </c:pt>
                <c:pt idx="139">
                  <c:v>40786</c:v>
                </c:pt>
                <c:pt idx="140">
                  <c:v>40816</c:v>
                </c:pt>
                <c:pt idx="141">
                  <c:v>40847</c:v>
                </c:pt>
                <c:pt idx="142">
                  <c:v>40877</c:v>
                </c:pt>
                <c:pt idx="143">
                  <c:v>40908</c:v>
                </c:pt>
                <c:pt idx="144">
                  <c:v>40939</c:v>
                </c:pt>
                <c:pt idx="145">
                  <c:v>40968</c:v>
                </c:pt>
                <c:pt idx="146">
                  <c:v>40999</c:v>
                </c:pt>
                <c:pt idx="147">
                  <c:v>41029</c:v>
                </c:pt>
                <c:pt idx="148">
                  <c:v>41060</c:v>
                </c:pt>
                <c:pt idx="149">
                  <c:v>41090</c:v>
                </c:pt>
                <c:pt idx="150">
                  <c:v>41121</c:v>
                </c:pt>
                <c:pt idx="151">
                  <c:v>41152</c:v>
                </c:pt>
                <c:pt idx="152">
                  <c:v>41182</c:v>
                </c:pt>
                <c:pt idx="153">
                  <c:v>41213</c:v>
                </c:pt>
                <c:pt idx="154">
                  <c:v>41243</c:v>
                </c:pt>
                <c:pt idx="155">
                  <c:v>41274</c:v>
                </c:pt>
                <c:pt idx="156">
                  <c:v>41305</c:v>
                </c:pt>
                <c:pt idx="157">
                  <c:v>41333</c:v>
                </c:pt>
                <c:pt idx="158">
                  <c:v>41364</c:v>
                </c:pt>
                <c:pt idx="159">
                  <c:v>41394</c:v>
                </c:pt>
                <c:pt idx="160">
                  <c:v>41425</c:v>
                </c:pt>
                <c:pt idx="161">
                  <c:v>41455</c:v>
                </c:pt>
                <c:pt idx="162">
                  <c:v>41486</c:v>
                </c:pt>
                <c:pt idx="163">
                  <c:v>41517</c:v>
                </c:pt>
                <c:pt idx="164">
                  <c:v>41547</c:v>
                </c:pt>
                <c:pt idx="165">
                  <c:v>41578</c:v>
                </c:pt>
                <c:pt idx="166">
                  <c:v>41608</c:v>
                </c:pt>
                <c:pt idx="167">
                  <c:v>41639</c:v>
                </c:pt>
                <c:pt idx="168">
                  <c:v>41670</c:v>
                </c:pt>
                <c:pt idx="169">
                  <c:v>41698</c:v>
                </c:pt>
                <c:pt idx="170">
                  <c:v>41729</c:v>
                </c:pt>
                <c:pt idx="171">
                  <c:v>41759</c:v>
                </c:pt>
                <c:pt idx="172">
                  <c:v>41790</c:v>
                </c:pt>
                <c:pt idx="173">
                  <c:v>41820</c:v>
                </c:pt>
                <c:pt idx="174">
                  <c:v>41851</c:v>
                </c:pt>
                <c:pt idx="175">
                  <c:v>41882</c:v>
                </c:pt>
                <c:pt idx="176">
                  <c:v>41912</c:v>
                </c:pt>
                <c:pt idx="177">
                  <c:v>41943</c:v>
                </c:pt>
                <c:pt idx="178">
                  <c:v>41973</c:v>
                </c:pt>
                <c:pt idx="179">
                  <c:v>42004</c:v>
                </c:pt>
                <c:pt idx="180">
                  <c:v>42035</c:v>
                </c:pt>
                <c:pt idx="181">
                  <c:v>42063</c:v>
                </c:pt>
                <c:pt idx="182">
                  <c:v>42094</c:v>
                </c:pt>
                <c:pt idx="183">
                  <c:v>42124</c:v>
                </c:pt>
                <c:pt idx="184">
                  <c:v>42155</c:v>
                </c:pt>
                <c:pt idx="185">
                  <c:v>42185</c:v>
                </c:pt>
                <c:pt idx="186">
                  <c:v>42216</c:v>
                </c:pt>
                <c:pt idx="187">
                  <c:v>42247</c:v>
                </c:pt>
                <c:pt idx="188">
                  <c:v>42277</c:v>
                </c:pt>
                <c:pt idx="189">
                  <c:v>42308</c:v>
                </c:pt>
                <c:pt idx="190">
                  <c:v>42338</c:v>
                </c:pt>
                <c:pt idx="191">
                  <c:v>42369</c:v>
                </c:pt>
                <c:pt idx="192">
                  <c:v>42400</c:v>
                </c:pt>
                <c:pt idx="193">
                  <c:v>42429</c:v>
                </c:pt>
                <c:pt idx="194">
                  <c:v>42460</c:v>
                </c:pt>
                <c:pt idx="195">
                  <c:v>42490</c:v>
                </c:pt>
                <c:pt idx="196">
                  <c:v>42521</c:v>
                </c:pt>
                <c:pt idx="197">
                  <c:v>42551</c:v>
                </c:pt>
                <c:pt idx="198">
                  <c:v>42582</c:v>
                </c:pt>
                <c:pt idx="199">
                  <c:v>42613</c:v>
                </c:pt>
                <c:pt idx="200">
                  <c:v>42643</c:v>
                </c:pt>
                <c:pt idx="201">
                  <c:v>42674</c:v>
                </c:pt>
                <c:pt idx="202">
                  <c:v>42704</c:v>
                </c:pt>
                <c:pt idx="203">
                  <c:v>42735</c:v>
                </c:pt>
                <c:pt idx="204">
                  <c:v>42766</c:v>
                </c:pt>
                <c:pt idx="205">
                  <c:v>42794</c:v>
                </c:pt>
                <c:pt idx="206">
                  <c:v>42825</c:v>
                </c:pt>
                <c:pt idx="207">
                  <c:v>42855</c:v>
                </c:pt>
                <c:pt idx="208">
                  <c:v>42886</c:v>
                </c:pt>
                <c:pt idx="209">
                  <c:v>42916</c:v>
                </c:pt>
                <c:pt idx="210">
                  <c:v>42947</c:v>
                </c:pt>
                <c:pt idx="211">
                  <c:v>42978</c:v>
                </c:pt>
                <c:pt idx="212">
                  <c:v>43008</c:v>
                </c:pt>
                <c:pt idx="213">
                  <c:v>43039</c:v>
                </c:pt>
                <c:pt idx="214">
                  <c:v>43069</c:v>
                </c:pt>
                <c:pt idx="215">
                  <c:v>43100</c:v>
                </c:pt>
                <c:pt idx="216">
                  <c:v>43131</c:v>
                </c:pt>
                <c:pt idx="217">
                  <c:v>43159</c:v>
                </c:pt>
                <c:pt idx="218">
                  <c:v>43190</c:v>
                </c:pt>
                <c:pt idx="219">
                  <c:v>43220</c:v>
                </c:pt>
                <c:pt idx="220">
                  <c:v>43251</c:v>
                </c:pt>
                <c:pt idx="221">
                  <c:v>43281</c:v>
                </c:pt>
                <c:pt idx="222">
                  <c:v>43312</c:v>
                </c:pt>
                <c:pt idx="223">
                  <c:v>43343</c:v>
                </c:pt>
                <c:pt idx="224">
                  <c:v>43373</c:v>
                </c:pt>
                <c:pt idx="225">
                  <c:v>43404</c:v>
                </c:pt>
                <c:pt idx="226">
                  <c:v>43434</c:v>
                </c:pt>
                <c:pt idx="227">
                  <c:v>43465</c:v>
                </c:pt>
                <c:pt idx="228">
                  <c:v>43496</c:v>
                </c:pt>
                <c:pt idx="229">
                  <c:v>43524</c:v>
                </c:pt>
                <c:pt idx="230">
                  <c:v>43555</c:v>
                </c:pt>
                <c:pt idx="231">
                  <c:v>43585</c:v>
                </c:pt>
                <c:pt idx="232">
                  <c:v>43616</c:v>
                </c:pt>
                <c:pt idx="233">
                  <c:v>43646</c:v>
                </c:pt>
                <c:pt idx="234">
                  <c:v>43677</c:v>
                </c:pt>
                <c:pt idx="235">
                  <c:v>43708</c:v>
                </c:pt>
                <c:pt idx="236">
                  <c:v>43738</c:v>
                </c:pt>
                <c:pt idx="237">
                  <c:v>43769</c:v>
                </c:pt>
                <c:pt idx="238">
                  <c:v>43799</c:v>
                </c:pt>
                <c:pt idx="239">
                  <c:v>43830</c:v>
                </c:pt>
                <c:pt idx="240">
                  <c:v>43861</c:v>
                </c:pt>
                <c:pt idx="241">
                  <c:v>43890</c:v>
                </c:pt>
                <c:pt idx="242">
                  <c:v>43921</c:v>
                </c:pt>
                <c:pt idx="243">
                  <c:v>43951</c:v>
                </c:pt>
                <c:pt idx="244">
                  <c:v>43982</c:v>
                </c:pt>
                <c:pt idx="245">
                  <c:v>44012</c:v>
                </c:pt>
                <c:pt idx="246">
                  <c:v>44043</c:v>
                </c:pt>
                <c:pt idx="247">
                  <c:v>44074</c:v>
                </c:pt>
                <c:pt idx="248">
                  <c:v>44104</c:v>
                </c:pt>
                <c:pt idx="249">
                  <c:v>44135</c:v>
                </c:pt>
                <c:pt idx="250">
                  <c:v>44165</c:v>
                </c:pt>
                <c:pt idx="251">
                  <c:v>44196</c:v>
                </c:pt>
                <c:pt idx="252">
                  <c:v>44227</c:v>
                </c:pt>
                <c:pt idx="253">
                  <c:v>44255</c:v>
                </c:pt>
                <c:pt idx="254">
                  <c:v>44286</c:v>
                </c:pt>
                <c:pt idx="255">
                  <c:v>44316</c:v>
                </c:pt>
                <c:pt idx="256">
                  <c:v>44347</c:v>
                </c:pt>
                <c:pt idx="257">
                  <c:v>44377</c:v>
                </c:pt>
                <c:pt idx="258">
                  <c:v>44408</c:v>
                </c:pt>
                <c:pt idx="259">
                  <c:v>44439</c:v>
                </c:pt>
                <c:pt idx="260">
                  <c:v>44469</c:v>
                </c:pt>
                <c:pt idx="261">
                  <c:v>44500</c:v>
                </c:pt>
                <c:pt idx="262">
                  <c:v>44530</c:v>
                </c:pt>
                <c:pt idx="263">
                  <c:v>44561</c:v>
                </c:pt>
                <c:pt idx="264">
                  <c:v>44592</c:v>
                </c:pt>
                <c:pt idx="265">
                  <c:v>44620</c:v>
                </c:pt>
                <c:pt idx="266">
                  <c:v>44651</c:v>
                </c:pt>
                <c:pt idx="269">
                  <c:v>44469</c:v>
                </c:pt>
                <c:pt idx="270">
                  <c:v>44561</c:v>
                </c:pt>
                <c:pt idx="271">
                  <c:v>44651</c:v>
                </c:pt>
              </c:numCache>
            </c:numRef>
          </c:cat>
          <c:val>
            <c:numRef>
              <c:f>'EV-kindlustunne'!$J$2:$J$300</c:f>
              <c:numCache>
                <c:formatCode>General</c:formatCode>
                <c:ptCount val="299"/>
                <c:pt idx="0">
                  <c:v>87.1</c:v>
                </c:pt>
                <c:pt idx="1">
                  <c:v>86.9</c:v>
                </c:pt>
                <c:pt idx="2">
                  <c:v>86.6</c:v>
                </c:pt>
                <c:pt idx="3">
                  <c:v>88.9</c:v>
                </c:pt>
                <c:pt idx="4">
                  <c:v>88.8</c:v>
                </c:pt>
                <c:pt idx="5">
                  <c:v>88.8</c:v>
                </c:pt>
                <c:pt idx="6">
                  <c:v>94.1</c:v>
                </c:pt>
                <c:pt idx="7">
                  <c:v>95.4</c:v>
                </c:pt>
                <c:pt idx="8">
                  <c:v>96.5</c:v>
                </c:pt>
                <c:pt idx="9">
                  <c:v>95.9</c:v>
                </c:pt>
                <c:pt idx="10">
                  <c:v>96.1</c:v>
                </c:pt>
                <c:pt idx="11">
                  <c:v>96.2</c:v>
                </c:pt>
                <c:pt idx="12">
                  <c:v>102.1</c:v>
                </c:pt>
                <c:pt idx="13">
                  <c:v>102.3</c:v>
                </c:pt>
                <c:pt idx="14">
                  <c:v>102.4</c:v>
                </c:pt>
                <c:pt idx="15">
                  <c:v>95.1</c:v>
                </c:pt>
                <c:pt idx="16">
                  <c:v>99.7</c:v>
                </c:pt>
                <c:pt idx="17">
                  <c:v>101.2</c:v>
                </c:pt>
                <c:pt idx="18">
                  <c:v>101.1</c:v>
                </c:pt>
                <c:pt idx="19">
                  <c:v>102.4</c:v>
                </c:pt>
                <c:pt idx="20">
                  <c:v>101.8</c:v>
                </c:pt>
                <c:pt idx="21">
                  <c:v>97.6</c:v>
                </c:pt>
                <c:pt idx="22">
                  <c:v>97.1</c:v>
                </c:pt>
                <c:pt idx="23">
                  <c:v>95.2</c:v>
                </c:pt>
                <c:pt idx="24">
                  <c:v>102.5</c:v>
                </c:pt>
                <c:pt idx="25">
                  <c:v>106.7</c:v>
                </c:pt>
                <c:pt idx="26">
                  <c:v>110.6</c:v>
                </c:pt>
                <c:pt idx="27">
                  <c:v>108.2</c:v>
                </c:pt>
                <c:pt idx="28">
                  <c:v>107.6</c:v>
                </c:pt>
                <c:pt idx="29">
                  <c:v>107.6</c:v>
                </c:pt>
                <c:pt idx="30">
                  <c:v>108</c:v>
                </c:pt>
                <c:pt idx="31">
                  <c:v>110.5</c:v>
                </c:pt>
                <c:pt idx="32">
                  <c:v>112.2</c:v>
                </c:pt>
                <c:pt idx="33">
                  <c:v>110.6</c:v>
                </c:pt>
                <c:pt idx="34">
                  <c:v>110.3</c:v>
                </c:pt>
                <c:pt idx="35">
                  <c:v>107.9</c:v>
                </c:pt>
                <c:pt idx="36">
                  <c:v>111.6</c:v>
                </c:pt>
                <c:pt idx="37">
                  <c:v>111.7</c:v>
                </c:pt>
                <c:pt idx="38">
                  <c:v>111.6</c:v>
                </c:pt>
                <c:pt idx="39">
                  <c:v>108.3</c:v>
                </c:pt>
                <c:pt idx="40">
                  <c:v>106.3</c:v>
                </c:pt>
                <c:pt idx="41">
                  <c:v>106.5</c:v>
                </c:pt>
                <c:pt idx="42">
                  <c:v>107.8</c:v>
                </c:pt>
                <c:pt idx="43">
                  <c:v>107.1</c:v>
                </c:pt>
                <c:pt idx="44">
                  <c:v>107.7</c:v>
                </c:pt>
                <c:pt idx="45">
                  <c:v>109</c:v>
                </c:pt>
                <c:pt idx="46">
                  <c:v>107.2</c:v>
                </c:pt>
                <c:pt idx="47">
                  <c:v>102.9</c:v>
                </c:pt>
                <c:pt idx="48">
                  <c:v>105.5</c:v>
                </c:pt>
                <c:pt idx="49">
                  <c:v>106.4</c:v>
                </c:pt>
                <c:pt idx="50">
                  <c:v>107.8</c:v>
                </c:pt>
                <c:pt idx="51">
                  <c:v>108.4</c:v>
                </c:pt>
                <c:pt idx="52">
                  <c:v>109.3</c:v>
                </c:pt>
                <c:pt idx="53">
                  <c:v>107.8</c:v>
                </c:pt>
                <c:pt idx="54">
                  <c:v>105.7</c:v>
                </c:pt>
                <c:pt idx="55">
                  <c:v>105.4</c:v>
                </c:pt>
                <c:pt idx="56">
                  <c:v>106.2</c:v>
                </c:pt>
                <c:pt idx="57">
                  <c:v>103.5</c:v>
                </c:pt>
                <c:pt idx="58">
                  <c:v>100.9</c:v>
                </c:pt>
                <c:pt idx="59">
                  <c:v>101.8</c:v>
                </c:pt>
                <c:pt idx="60">
                  <c:v>105</c:v>
                </c:pt>
                <c:pt idx="61">
                  <c:v>107.5</c:v>
                </c:pt>
                <c:pt idx="62">
                  <c:v>110.2</c:v>
                </c:pt>
                <c:pt idx="63">
                  <c:v>109.5</c:v>
                </c:pt>
                <c:pt idx="64">
                  <c:v>110</c:v>
                </c:pt>
                <c:pt idx="65">
                  <c:v>109.4</c:v>
                </c:pt>
                <c:pt idx="66">
                  <c:v>111.8</c:v>
                </c:pt>
                <c:pt idx="67">
                  <c:v>110.1</c:v>
                </c:pt>
                <c:pt idx="68">
                  <c:v>108.1</c:v>
                </c:pt>
                <c:pt idx="69">
                  <c:v>112.9</c:v>
                </c:pt>
                <c:pt idx="70">
                  <c:v>114.2</c:v>
                </c:pt>
                <c:pt idx="71">
                  <c:v>117.2</c:v>
                </c:pt>
                <c:pt idx="72">
                  <c:v>115.9</c:v>
                </c:pt>
                <c:pt idx="73">
                  <c:v>112.9</c:v>
                </c:pt>
                <c:pt idx="74">
                  <c:v>112.7</c:v>
                </c:pt>
                <c:pt idx="75">
                  <c:v>113.3</c:v>
                </c:pt>
                <c:pt idx="76">
                  <c:v>113.8</c:v>
                </c:pt>
                <c:pt idx="77">
                  <c:v>115.8</c:v>
                </c:pt>
                <c:pt idx="78">
                  <c:v>117.4</c:v>
                </c:pt>
                <c:pt idx="79">
                  <c:v>118.4</c:v>
                </c:pt>
                <c:pt idx="80">
                  <c:v>118.4</c:v>
                </c:pt>
                <c:pt idx="81">
                  <c:v>116.7</c:v>
                </c:pt>
                <c:pt idx="82">
                  <c:v>117.6</c:v>
                </c:pt>
                <c:pt idx="83">
                  <c:v>118.7</c:v>
                </c:pt>
                <c:pt idx="84">
                  <c:v>116.5</c:v>
                </c:pt>
                <c:pt idx="85">
                  <c:v>116.6</c:v>
                </c:pt>
                <c:pt idx="86">
                  <c:v>116.6</c:v>
                </c:pt>
                <c:pt idx="87">
                  <c:v>114.7</c:v>
                </c:pt>
                <c:pt idx="88">
                  <c:v>110.8</c:v>
                </c:pt>
                <c:pt idx="89">
                  <c:v>111.9</c:v>
                </c:pt>
                <c:pt idx="90">
                  <c:v>108.3</c:v>
                </c:pt>
                <c:pt idx="91">
                  <c:v>103.4</c:v>
                </c:pt>
                <c:pt idx="92">
                  <c:v>103</c:v>
                </c:pt>
                <c:pt idx="93">
                  <c:v>99.9</c:v>
                </c:pt>
                <c:pt idx="94">
                  <c:v>98.5</c:v>
                </c:pt>
                <c:pt idx="95">
                  <c:v>98.4</c:v>
                </c:pt>
                <c:pt idx="96">
                  <c:v>97</c:v>
                </c:pt>
                <c:pt idx="97">
                  <c:v>97.4</c:v>
                </c:pt>
                <c:pt idx="98">
                  <c:v>96.3</c:v>
                </c:pt>
                <c:pt idx="99">
                  <c:v>93</c:v>
                </c:pt>
                <c:pt idx="100">
                  <c:v>92.5</c:v>
                </c:pt>
                <c:pt idx="101">
                  <c:v>91.8</c:v>
                </c:pt>
                <c:pt idx="102">
                  <c:v>89.1</c:v>
                </c:pt>
                <c:pt idx="103">
                  <c:v>89.5</c:v>
                </c:pt>
                <c:pt idx="104">
                  <c:v>84</c:v>
                </c:pt>
                <c:pt idx="105">
                  <c:v>79.8</c:v>
                </c:pt>
                <c:pt idx="106">
                  <c:v>75.099999999999994</c:v>
                </c:pt>
                <c:pt idx="107">
                  <c:v>69.900000000000006</c:v>
                </c:pt>
                <c:pt idx="108">
                  <c:v>70</c:v>
                </c:pt>
                <c:pt idx="109">
                  <c:v>65.2</c:v>
                </c:pt>
                <c:pt idx="110">
                  <c:v>64</c:v>
                </c:pt>
                <c:pt idx="111">
                  <c:v>65.8</c:v>
                </c:pt>
                <c:pt idx="112">
                  <c:v>71.099999999999994</c:v>
                </c:pt>
                <c:pt idx="113">
                  <c:v>70.599999999999994</c:v>
                </c:pt>
                <c:pt idx="114">
                  <c:v>72.3</c:v>
                </c:pt>
                <c:pt idx="115">
                  <c:v>76.2</c:v>
                </c:pt>
                <c:pt idx="116">
                  <c:v>80.5</c:v>
                </c:pt>
                <c:pt idx="117">
                  <c:v>82.8</c:v>
                </c:pt>
                <c:pt idx="118">
                  <c:v>86.1</c:v>
                </c:pt>
                <c:pt idx="119">
                  <c:v>88</c:v>
                </c:pt>
                <c:pt idx="120">
                  <c:v>89.3</c:v>
                </c:pt>
                <c:pt idx="121">
                  <c:v>91.6</c:v>
                </c:pt>
                <c:pt idx="122">
                  <c:v>91.8</c:v>
                </c:pt>
                <c:pt idx="123">
                  <c:v>95.6</c:v>
                </c:pt>
                <c:pt idx="124">
                  <c:v>98.5</c:v>
                </c:pt>
                <c:pt idx="125">
                  <c:v>98.4</c:v>
                </c:pt>
                <c:pt idx="126">
                  <c:v>99.4</c:v>
                </c:pt>
                <c:pt idx="127">
                  <c:v>102.5</c:v>
                </c:pt>
                <c:pt idx="128">
                  <c:v>101</c:v>
                </c:pt>
                <c:pt idx="129">
                  <c:v>105.2</c:v>
                </c:pt>
                <c:pt idx="130">
                  <c:v>105.3</c:v>
                </c:pt>
                <c:pt idx="131">
                  <c:v>106.9</c:v>
                </c:pt>
                <c:pt idx="132">
                  <c:v>107.6</c:v>
                </c:pt>
                <c:pt idx="133">
                  <c:v>108.1</c:v>
                </c:pt>
                <c:pt idx="134">
                  <c:v>108.4</c:v>
                </c:pt>
                <c:pt idx="135">
                  <c:v>106.5</c:v>
                </c:pt>
                <c:pt idx="136">
                  <c:v>105.7</c:v>
                </c:pt>
                <c:pt idx="137">
                  <c:v>105</c:v>
                </c:pt>
                <c:pt idx="138">
                  <c:v>104</c:v>
                </c:pt>
                <c:pt idx="139">
                  <c:v>102.4</c:v>
                </c:pt>
                <c:pt idx="140">
                  <c:v>99.9</c:v>
                </c:pt>
                <c:pt idx="141">
                  <c:v>97</c:v>
                </c:pt>
                <c:pt idx="142">
                  <c:v>98</c:v>
                </c:pt>
                <c:pt idx="143">
                  <c:v>97.8</c:v>
                </c:pt>
                <c:pt idx="144">
                  <c:v>97.8</c:v>
                </c:pt>
                <c:pt idx="145">
                  <c:v>99.1</c:v>
                </c:pt>
                <c:pt idx="146">
                  <c:v>100.5</c:v>
                </c:pt>
                <c:pt idx="147">
                  <c:v>99.3</c:v>
                </c:pt>
                <c:pt idx="148">
                  <c:v>97.9</c:v>
                </c:pt>
                <c:pt idx="149">
                  <c:v>99.3</c:v>
                </c:pt>
                <c:pt idx="150">
                  <c:v>98</c:v>
                </c:pt>
                <c:pt idx="151">
                  <c:v>98.8</c:v>
                </c:pt>
                <c:pt idx="152">
                  <c:v>96.3</c:v>
                </c:pt>
                <c:pt idx="153">
                  <c:v>95.5</c:v>
                </c:pt>
                <c:pt idx="154">
                  <c:v>95</c:v>
                </c:pt>
                <c:pt idx="155">
                  <c:v>97.9</c:v>
                </c:pt>
                <c:pt idx="156">
                  <c:v>98.4</c:v>
                </c:pt>
                <c:pt idx="157">
                  <c:v>99.4</c:v>
                </c:pt>
                <c:pt idx="158">
                  <c:v>98.7</c:v>
                </c:pt>
                <c:pt idx="159">
                  <c:v>97.6</c:v>
                </c:pt>
                <c:pt idx="160">
                  <c:v>98.6</c:v>
                </c:pt>
                <c:pt idx="161">
                  <c:v>96.9</c:v>
                </c:pt>
                <c:pt idx="162">
                  <c:v>97.3</c:v>
                </c:pt>
                <c:pt idx="163">
                  <c:v>98.1</c:v>
                </c:pt>
                <c:pt idx="164">
                  <c:v>99.1</c:v>
                </c:pt>
                <c:pt idx="165">
                  <c:v>100.6</c:v>
                </c:pt>
                <c:pt idx="166">
                  <c:v>100.6</c:v>
                </c:pt>
                <c:pt idx="167">
                  <c:v>99.8</c:v>
                </c:pt>
                <c:pt idx="168">
                  <c:v>102.3</c:v>
                </c:pt>
                <c:pt idx="169">
                  <c:v>100.5</c:v>
                </c:pt>
                <c:pt idx="170">
                  <c:v>99.9</c:v>
                </c:pt>
                <c:pt idx="171">
                  <c:v>100.3</c:v>
                </c:pt>
                <c:pt idx="172">
                  <c:v>97.2</c:v>
                </c:pt>
                <c:pt idx="173">
                  <c:v>96</c:v>
                </c:pt>
                <c:pt idx="174">
                  <c:v>95</c:v>
                </c:pt>
                <c:pt idx="175">
                  <c:v>97.5</c:v>
                </c:pt>
                <c:pt idx="176">
                  <c:v>97.4</c:v>
                </c:pt>
                <c:pt idx="177">
                  <c:v>99.1</c:v>
                </c:pt>
                <c:pt idx="178">
                  <c:v>101</c:v>
                </c:pt>
                <c:pt idx="179">
                  <c:v>99.7</c:v>
                </c:pt>
                <c:pt idx="180">
                  <c:v>98.3</c:v>
                </c:pt>
                <c:pt idx="181">
                  <c:v>95.4</c:v>
                </c:pt>
                <c:pt idx="182">
                  <c:v>93.7</c:v>
                </c:pt>
                <c:pt idx="183">
                  <c:v>94.1</c:v>
                </c:pt>
                <c:pt idx="184">
                  <c:v>93.5</c:v>
                </c:pt>
                <c:pt idx="185">
                  <c:v>92.2</c:v>
                </c:pt>
                <c:pt idx="186">
                  <c:v>93.6</c:v>
                </c:pt>
                <c:pt idx="187">
                  <c:v>94.2</c:v>
                </c:pt>
                <c:pt idx="188">
                  <c:v>95.2</c:v>
                </c:pt>
                <c:pt idx="189">
                  <c:v>97.6</c:v>
                </c:pt>
                <c:pt idx="190">
                  <c:v>97</c:v>
                </c:pt>
                <c:pt idx="191">
                  <c:v>97.2</c:v>
                </c:pt>
                <c:pt idx="192">
                  <c:v>98.6</c:v>
                </c:pt>
                <c:pt idx="193">
                  <c:v>96.2</c:v>
                </c:pt>
                <c:pt idx="194">
                  <c:v>97.2</c:v>
                </c:pt>
                <c:pt idx="195">
                  <c:v>97.4</c:v>
                </c:pt>
                <c:pt idx="196">
                  <c:v>97.4</c:v>
                </c:pt>
                <c:pt idx="197">
                  <c:v>97.9</c:v>
                </c:pt>
                <c:pt idx="198">
                  <c:v>99.8</c:v>
                </c:pt>
                <c:pt idx="199">
                  <c:v>98.6</c:v>
                </c:pt>
                <c:pt idx="200">
                  <c:v>100.7</c:v>
                </c:pt>
                <c:pt idx="201">
                  <c:v>101.5</c:v>
                </c:pt>
                <c:pt idx="202">
                  <c:v>100</c:v>
                </c:pt>
                <c:pt idx="203">
                  <c:v>102.1</c:v>
                </c:pt>
                <c:pt idx="204">
                  <c:v>101.6</c:v>
                </c:pt>
                <c:pt idx="205">
                  <c:v>104.8</c:v>
                </c:pt>
                <c:pt idx="206">
                  <c:v>103.3</c:v>
                </c:pt>
                <c:pt idx="207">
                  <c:v>105.5</c:v>
                </c:pt>
                <c:pt idx="208">
                  <c:v>103.4</c:v>
                </c:pt>
                <c:pt idx="209">
                  <c:v>107.4</c:v>
                </c:pt>
                <c:pt idx="210">
                  <c:v>107.3</c:v>
                </c:pt>
                <c:pt idx="211">
                  <c:v>104.4</c:v>
                </c:pt>
                <c:pt idx="212">
                  <c:v>106</c:v>
                </c:pt>
                <c:pt idx="213">
                  <c:v>104.4</c:v>
                </c:pt>
                <c:pt idx="214">
                  <c:v>106</c:v>
                </c:pt>
                <c:pt idx="215">
                  <c:v>106.3</c:v>
                </c:pt>
                <c:pt idx="216">
                  <c:v>105.1</c:v>
                </c:pt>
                <c:pt idx="217">
                  <c:v>105</c:v>
                </c:pt>
                <c:pt idx="218">
                  <c:v>104.9</c:v>
                </c:pt>
                <c:pt idx="219">
                  <c:v>103.1</c:v>
                </c:pt>
                <c:pt idx="220">
                  <c:v>101.8</c:v>
                </c:pt>
                <c:pt idx="221">
                  <c:v>103</c:v>
                </c:pt>
                <c:pt idx="222">
                  <c:v>104.5</c:v>
                </c:pt>
                <c:pt idx="223">
                  <c:v>102.6</c:v>
                </c:pt>
                <c:pt idx="224">
                  <c:v>103.5</c:v>
                </c:pt>
                <c:pt idx="225">
                  <c:v>102.4</c:v>
                </c:pt>
                <c:pt idx="226">
                  <c:v>103.6</c:v>
                </c:pt>
                <c:pt idx="227">
                  <c:v>102.3</c:v>
                </c:pt>
                <c:pt idx="228">
                  <c:v>100.6</c:v>
                </c:pt>
                <c:pt idx="229">
                  <c:v>100</c:v>
                </c:pt>
                <c:pt idx="230">
                  <c:v>100.6</c:v>
                </c:pt>
                <c:pt idx="231">
                  <c:v>99.3</c:v>
                </c:pt>
                <c:pt idx="232">
                  <c:v>100.4</c:v>
                </c:pt>
                <c:pt idx="233">
                  <c:v>98.3</c:v>
                </c:pt>
                <c:pt idx="234">
                  <c:v>96.8</c:v>
                </c:pt>
                <c:pt idx="235">
                  <c:v>97.7</c:v>
                </c:pt>
                <c:pt idx="236">
                  <c:v>95.8</c:v>
                </c:pt>
                <c:pt idx="237">
                  <c:v>94.9</c:v>
                </c:pt>
                <c:pt idx="238">
                  <c:v>93.4</c:v>
                </c:pt>
                <c:pt idx="239">
                  <c:v>95.3</c:v>
                </c:pt>
                <c:pt idx="240">
                  <c:v>95.2</c:v>
                </c:pt>
                <c:pt idx="241">
                  <c:v>97.9</c:v>
                </c:pt>
                <c:pt idx="242">
                  <c:v>97.4</c:v>
                </c:pt>
                <c:pt idx="243">
                  <c:v>71.2</c:v>
                </c:pt>
                <c:pt idx="244">
                  <c:v>71</c:v>
                </c:pt>
                <c:pt idx="245">
                  <c:v>73.599999999999994</c:v>
                </c:pt>
                <c:pt idx="246">
                  <c:v>82.6</c:v>
                </c:pt>
                <c:pt idx="247">
                  <c:v>85.8</c:v>
                </c:pt>
                <c:pt idx="248">
                  <c:v>88.6</c:v>
                </c:pt>
                <c:pt idx="249">
                  <c:v>91.8</c:v>
                </c:pt>
                <c:pt idx="250">
                  <c:v>90.6</c:v>
                </c:pt>
                <c:pt idx="251">
                  <c:v>93.6</c:v>
                </c:pt>
                <c:pt idx="252">
                  <c:v>95.6</c:v>
                </c:pt>
                <c:pt idx="253">
                  <c:v>96.4</c:v>
                </c:pt>
                <c:pt idx="254">
                  <c:v>93.6</c:v>
                </c:pt>
                <c:pt idx="255">
                  <c:v>102.7</c:v>
                </c:pt>
                <c:pt idx="256">
                  <c:v>107.3</c:v>
                </c:pt>
                <c:pt idx="257">
                  <c:v>107.7</c:v>
                </c:pt>
                <c:pt idx="258">
                  <c:v>109.7</c:v>
                </c:pt>
                <c:pt idx="259">
                  <c:v>106.7</c:v>
                </c:pt>
                <c:pt idx="260">
                  <c:v>110.3</c:v>
                </c:pt>
                <c:pt idx="261">
                  <c:v>106.6</c:v>
                </c:pt>
                <c:pt idx="262">
                  <c:v>107.4</c:v>
                </c:pt>
                <c:pt idx="263">
                  <c:v>107.3</c:v>
                </c:pt>
                <c:pt idx="264">
                  <c:v>104.6</c:v>
                </c:pt>
                <c:pt idx="265">
                  <c:v>102.8</c:v>
                </c:pt>
                <c:pt idx="266">
                  <c:v>99.8</c:v>
                </c:pt>
                <c:pt idx="268">
                  <c:v>0</c:v>
                </c:pt>
                <c:pt idx="269">
                  <c:v>110.3</c:v>
                </c:pt>
                <c:pt idx="270">
                  <c:v>107.3</c:v>
                </c:pt>
                <c:pt idx="271">
                  <c:v>99.8</c:v>
                </c:pt>
              </c:numCache>
            </c:numRef>
          </c:val>
          <c:smooth val="0"/>
          <c:extLst>
            <c:ext xmlns:c16="http://schemas.microsoft.com/office/drawing/2014/chart" uri="{C3380CC4-5D6E-409C-BE32-E72D297353CC}">
              <c16:uniqueId val="{00000001-7373-4929-A231-630B9121F2C9}"/>
            </c:ext>
          </c:extLst>
        </c:ser>
        <c:dLbls>
          <c:showLegendKey val="0"/>
          <c:showVal val="0"/>
          <c:showCatName val="0"/>
          <c:showSerName val="0"/>
          <c:showPercent val="0"/>
          <c:showBubbleSize val="0"/>
        </c:dLbls>
        <c:smooth val="0"/>
        <c:axId val="842318879"/>
        <c:axId val="842322207"/>
      </c:lineChart>
      <c:dateAx>
        <c:axId val="842318879"/>
        <c:scaling>
          <c:orientation val="minMax"/>
          <c:max val="44926"/>
          <c:min val="39448"/>
        </c:scaling>
        <c:delete val="0"/>
        <c:axPos val="b"/>
        <c:numFmt formatCode="yyyy" sourceLinked="0"/>
        <c:majorTickMark val="none"/>
        <c:minorTickMark val="none"/>
        <c:tickLblPos val="low"/>
        <c:spPr>
          <a:noFill/>
          <a:ln w="9525" cap="flat" cmpd="sng" algn="ctr">
            <a:solidFill>
              <a:schemeClr val="tx1">
                <a:lumMod val="15000"/>
                <a:lumOff val="85000"/>
                <a:alpha val="99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Roboto Condensed" panose="02000000000000000000" pitchFamily="2" charset="0"/>
                <a:ea typeface="Roboto Condensed" panose="02000000000000000000" pitchFamily="2" charset="0"/>
                <a:cs typeface="+mn-cs"/>
              </a:defRPr>
            </a:pPr>
            <a:endParaRPr lang="et-EE"/>
          </a:p>
        </c:txPr>
        <c:crossAx val="842322207"/>
        <c:crosses val="autoZero"/>
        <c:auto val="0"/>
        <c:lblOffset val="100"/>
        <c:baseTimeUnit val="months"/>
        <c:majorUnit val="2"/>
        <c:majorTimeUnit val="years"/>
      </c:dateAx>
      <c:valAx>
        <c:axId val="842322207"/>
        <c:scaling>
          <c:orientation val="minMax"/>
          <c:max val="120"/>
          <c:min val="6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Roboto Condensed" panose="02000000000000000000" pitchFamily="2" charset="0"/>
                <a:ea typeface="Roboto Condensed" panose="02000000000000000000" pitchFamily="2" charset="0"/>
                <a:cs typeface="+mn-cs"/>
              </a:defRPr>
            </a:pPr>
            <a:endParaRPr lang="et-EE"/>
          </a:p>
        </c:txPr>
        <c:crossAx val="842318879"/>
        <c:crosses val="autoZero"/>
        <c:crossBetween val="between"/>
      </c:valAx>
      <c:spPr>
        <a:noFill/>
        <a:ln>
          <a:noFill/>
        </a:ln>
        <a:effectLst/>
      </c:spPr>
    </c:plotArea>
    <c:legend>
      <c:legendPos val="b"/>
      <c:layout>
        <c:manualLayout>
          <c:xMode val="edge"/>
          <c:yMode val="edge"/>
          <c:x val="0.15782483500242087"/>
          <c:y val="0.14811211489460271"/>
          <c:w val="0.39956068598221339"/>
          <c:h val="8.283530229325920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Roboto Condensed" panose="02000000000000000000" pitchFamily="2" charset="0"/>
              <a:ea typeface="Roboto Condensed" panose="02000000000000000000" pitchFamily="2" charset="0"/>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Roboto Condensed" panose="02000000000000000000" pitchFamily="2" charset="0"/>
          <a:ea typeface="Roboto Condensed" panose="02000000000000000000" pitchFamily="2" charset="0"/>
        </a:defRPr>
      </a:pPr>
      <a:endParaRPr lang="et-E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923076923076927E-2"/>
          <c:y val="6.25E-2"/>
          <c:w val="0.90854820792629121"/>
          <c:h val="0.59488564331033489"/>
        </c:manualLayout>
      </c:layout>
      <c:barChart>
        <c:barDir val="col"/>
        <c:grouping val="stacked"/>
        <c:varyColors val="0"/>
        <c:ser>
          <c:idx val="2"/>
          <c:order val="2"/>
          <c:tx>
            <c:strRef>
              <c:f>Joonised!$Y$182</c:f>
              <c:strCache>
                <c:ptCount val="1"/>
                <c:pt idx="0">
                  <c:v>Sõjapõgenike mõju hõivele</c:v>
                </c:pt>
              </c:strCache>
            </c:strRef>
          </c:tx>
          <c:spPr>
            <a:solidFill>
              <a:schemeClr val="accent2"/>
            </a:solidFill>
          </c:spPr>
          <c:invertIfNegative val="0"/>
          <c:cat>
            <c:numRef>
              <c:f>Joonised!$V$183:$V$190</c:f>
              <c:numCache>
                <c:formatCode>General</c:formatCode>
                <c:ptCount val="8"/>
                <c:pt idx="0">
                  <c:v>2022</c:v>
                </c:pt>
                <c:pt idx="4">
                  <c:v>2023</c:v>
                </c:pt>
              </c:numCache>
            </c:numRef>
          </c:cat>
          <c:val>
            <c:numRef>
              <c:f>Joonised!$Y$183:$Y$190</c:f>
              <c:numCache>
                <c:formatCode>0.0</c:formatCode>
                <c:ptCount val="8"/>
                <c:pt idx="0">
                  <c:v>0</c:v>
                </c:pt>
                <c:pt idx="1">
                  <c:v>0.2919950481278209</c:v>
                </c:pt>
                <c:pt idx="2">
                  <c:v>0.5898306640144414</c:v>
                </c:pt>
                <c:pt idx="3">
                  <c:v>0.31167591912665105</c:v>
                </c:pt>
                <c:pt idx="4">
                  <c:v>0.35825696612611291</c:v>
                </c:pt>
                <c:pt idx="5" formatCode="General">
                  <c:v>0.84595378501542196</c:v>
                </c:pt>
                <c:pt idx="6" formatCode="General">
                  <c:v>0.91670642160192628</c:v>
                </c:pt>
                <c:pt idx="7" formatCode="General">
                  <c:v>0.51170673289449464</c:v>
                </c:pt>
              </c:numCache>
            </c:numRef>
          </c:val>
          <c:extLst xmlns:c15="http://schemas.microsoft.com/office/drawing/2012/chart">
            <c:ext xmlns:c16="http://schemas.microsoft.com/office/drawing/2014/chart" uri="{C3380CC4-5D6E-409C-BE32-E72D297353CC}">
              <c16:uniqueId val="{00000000-CA1B-4566-9266-80DBA9B4A446}"/>
            </c:ext>
          </c:extLst>
        </c:ser>
        <c:dLbls>
          <c:showLegendKey val="0"/>
          <c:showVal val="0"/>
          <c:showCatName val="0"/>
          <c:showSerName val="0"/>
          <c:showPercent val="0"/>
          <c:showBubbleSize val="0"/>
        </c:dLbls>
        <c:gapWidth val="150"/>
        <c:overlap val="100"/>
        <c:axId val="205761016"/>
        <c:axId val="205760232"/>
        <c:extLst/>
      </c:barChart>
      <c:lineChart>
        <c:grouping val="standard"/>
        <c:varyColors val="0"/>
        <c:ser>
          <c:idx val="0"/>
          <c:order val="0"/>
          <c:tx>
            <c:strRef>
              <c:f>Joonised!$W$182</c:f>
              <c:strCache>
                <c:ptCount val="1"/>
                <c:pt idx="0">
                  <c:v>Tööpuudus koos sõjapõgenikega</c:v>
                </c:pt>
              </c:strCache>
            </c:strRef>
          </c:tx>
          <c:spPr>
            <a:ln>
              <a:solidFill>
                <a:schemeClr val="accent2"/>
              </a:solidFill>
            </a:ln>
          </c:spPr>
          <c:marker>
            <c:spPr>
              <a:solidFill>
                <a:schemeClr val="accent2"/>
              </a:solidFill>
              <a:ln>
                <a:solidFill>
                  <a:schemeClr val="accent2"/>
                </a:solidFill>
              </a:ln>
            </c:spPr>
          </c:marker>
          <c:cat>
            <c:numRef>
              <c:f>Joonised!$V$183:$V$190</c:f>
              <c:numCache>
                <c:formatCode>General</c:formatCode>
                <c:ptCount val="8"/>
                <c:pt idx="0">
                  <c:v>2022</c:v>
                </c:pt>
                <c:pt idx="4">
                  <c:v>2023</c:v>
                </c:pt>
              </c:numCache>
            </c:numRef>
          </c:cat>
          <c:val>
            <c:numRef>
              <c:f>Joonised!$W$183:$W$190</c:f>
              <c:numCache>
                <c:formatCode>0.0</c:formatCode>
                <c:ptCount val="8"/>
                <c:pt idx="0">
                  <c:v>5.7532363612932125</c:v>
                </c:pt>
                <c:pt idx="1">
                  <c:v>7.5894422037489599</c:v>
                </c:pt>
                <c:pt idx="2">
                  <c:v>9.4706273298146044</c:v>
                </c:pt>
                <c:pt idx="3">
                  <c:v>9.5353486793732145</c:v>
                </c:pt>
                <c:pt idx="4" formatCode="General">
                  <c:v>9.2946327401817914</c:v>
                </c:pt>
                <c:pt idx="5" formatCode="General">
                  <c:v>8.9796340661231611</c:v>
                </c:pt>
                <c:pt idx="6" formatCode="General">
                  <c:v>8.7649768403665984</c:v>
                </c:pt>
                <c:pt idx="7" formatCode="General">
                  <c:v>8.708494544843159</c:v>
                </c:pt>
              </c:numCache>
            </c:numRef>
          </c:val>
          <c:smooth val="0"/>
          <c:extLst>
            <c:ext xmlns:c16="http://schemas.microsoft.com/office/drawing/2014/chart" uri="{C3380CC4-5D6E-409C-BE32-E72D297353CC}">
              <c16:uniqueId val="{00000001-CA1B-4566-9266-80DBA9B4A446}"/>
            </c:ext>
          </c:extLst>
        </c:ser>
        <c:ser>
          <c:idx val="1"/>
          <c:order val="1"/>
          <c:tx>
            <c:strRef>
              <c:f>Joonised!$X$182</c:f>
              <c:strCache>
                <c:ptCount val="1"/>
                <c:pt idx="0">
                  <c:v>Tööpuudus (põhistsenaarium)</c:v>
                </c:pt>
              </c:strCache>
            </c:strRef>
          </c:tx>
          <c:spPr>
            <a:ln>
              <a:solidFill>
                <a:schemeClr val="accent1"/>
              </a:solidFill>
            </a:ln>
          </c:spPr>
          <c:marker>
            <c:spPr>
              <a:solidFill>
                <a:schemeClr val="accent1"/>
              </a:solidFill>
              <a:ln>
                <a:solidFill>
                  <a:schemeClr val="accent1"/>
                </a:solidFill>
              </a:ln>
            </c:spPr>
          </c:marker>
          <c:cat>
            <c:numRef>
              <c:f>Joonised!$V$183:$V$190</c:f>
              <c:numCache>
                <c:formatCode>General</c:formatCode>
                <c:ptCount val="8"/>
                <c:pt idx="0">
                  <c:v>2022</c:v>
                </c:pt>
                <c:pt idx="4">
                  <c:v>2023</c:v>
                </c:pt>
              </c:numCache>
            </c:numRef>
          </c:cat>
          <c:val>
            <c:numRef>
              <c:f>Joonised!$X$183:$X$190</c:f>
              <c:numCache>
                <c:formatCode>0.0</c:formatCode>
                <c:ptCount val="8"/>
                <c:pt idx="0">
                  <c:v>5.7532363612932125</c:v>
                </c:pt>
                <c:pt idx="1">
                  <c:v>6.4543631449900012</c:v>
                </c:pt>
                <c:pt idx="2">
                  <c:v>8.4670690728582372</c:v>
                </c:pt>
                <c:pt idx="3">
                  <c:v>8.2694084674517789</c:v>
                </c:pt>
                <c:pt idx="4" formatCode="General">
                  <c:v>8.4895204778502524</c:v>
                </c:pt>
                <c:pt idx="5" formatCode="General">
                  <c:v>8.3745218037916214</c:v>
                </c:pt>
                <c:pt idx="6" formatCode="General">
                  <c:v>8.2598645780350584</c:v>
                </c:pt>
                <c:pt idx="7" formatCode="General">
                  <c:v>8.2033822825116189</c:v>
                </c:pt>
              </c:numCache>
            </c:numRef>
          </c:val>
          <c:smooth val="0"/>
          <c:extLst>
            <c:ext xmlns:c16="http://schemas.microsoft.com/office/drawing/2014/chart" uri="{C3380CC4-5D6E-409C-BE32-E72D297353CC}">
              <c16:uniqueId val="{00000002-CA1B-4566-9266-80DBA9B4A446}"/>
            </c:ext>
          </c:extLst>
        </c:ser>
        <c:dLbls>
          <c:showLegendKey val="0"/>
          <c:showVal val="0"/>
          <c:showCatName val="0"/>
          <c:showSerName val="0"/>
          <c:showPercent val="0"/>
          <c:showBubbleSize val="0"/>
        </c:dLbls>
        <c:marker val="1"/>
        <c:smooth val="0"/>
        <c:axId val="205761016"/>
        <c:axId val="205760232"/>
      </c:lineChart>
      <c:catAx>
        <c:axId val="205761016"/>
        <c:scaling>
          <c:orientation val="minMax"/>
        </c:scaling>
        <c:delete val="0"/>
        <c:axPos val="b"/>
        <c:numFmt formatCode="General" sourceLinked="1"/>
        <c:majorTickMark val="out"/>
        <c:minorTickMark val="none"/>
        <c:tickLblPos val="low"/>
        <c:spPr>
          <a:ln w="2570">
            <a:solidFill>
              <a:srgbClr val="000000"/>
            </a:solidFill>
            <a:prstDash val="solid"/>
          </a:ln>
        </c:spPr>
        <c:txPr>
          <a:bodyPr rot="0" vert="horz"/>
          <a:lstStyle/>
          <a:p>
            <a:pPr>
              <a:defRPr/>
            </a:pPr>
            <a:endParaRPr lang="et-EE"/>
          </a:p>
        </c:txPr>
        <c:crossAx val="205760232"/>
        <c:crosses val="autoZero"/>
        <c:auto val="1"/>
        <c:lblAlgn val="ctr"/>
        <c:lblOffset val="100"/>
        <c:noMultiLvlLbl val="0"/>
      </c:catAx>
      <c:valAx>
        <c:axId val="205760232"/>
        <c:scaling>
          <c:orientation val="minMax"/>
          <c:max val="10"/>
          <c:min val="0"/>
        </c:scaling>
        <c:delete val="0"/>
        <c:axPos val="l"/>
        <c:majorGridlines>
          <c:spPr>
            <a:ln w="2570">
              <a:solidFill>
                <a:schemeClr val="bg1">
                  <a:lumMod val="50000"/>
                  <a:alpha val="50000"/>
                </a:schemeClr>
              </a:solidFill>
              <a:prstDash val="dash"/>
            </a:ln>
          </c:spPr>
        </c:majorGridlines>
        <c:numFmt formatCode="0" sourceLinked="0"/>
        <c:majorTickMark val="in"/>
        <c:minorTickMark val="none"/>
        <c:tickLblPos val="nextTo"/>
        <c:spPr>
          <a:ln w="2570">
            <a:solidFill>
              <a:srgbClr val="000000"/>
            </a:solidFill>
            <a:prstDash val="sysDash"/>
          </a:ln>
        </c:spPr>
        <c:txPr>
          <a:bodyPr rot="0" vert="horz"/>
          <a:lstStyle/>
          <a:p>
            <a:pPr>
              <a:defRPr/>
            </a:pPr>
            <a:endParaRPr lang="et-EE"/>
          </a:p>
        </c:txPr>
        <c:crossAx val="205761016"/>
        <c:crosses val="autoZero"/>
        <c:crossBetween val="between"/>
        <c:majorUnit val="2"/>
      </c:valAx>
      <c:spPr>
        <a:ln>
          <a:noFill/>
        </a:ln>
      </c:spPr>
    </c:plotArea>
    <c:legend>
      <c:legendPos val="b"/>
      <c:layout>
        <c:manualLayout>
          <c:xMode val="edge"/>
          <c:yMode val="edge"/>
          <c:x val="1.8018018018018021E-2"/>
          <c:y val="0.76795519821211888"/>
          <c:w val="0.96572355820387912"/>
          <c:h val="0.22064696233829093"/>
        </c:manualLayout>
      </c:layout>
      <c:overlay val="0"/>
    </c:legend>
    <c:plotVisOnly val="1"/>
    <c:dispBlanksAs val="gap"/>
    <c:showDLblsOverMax val="0"/>
  </c:chart>
  <c:spPr>
    <a:noFill/>
    <a:ln>
      <a:noFill/>
    </a:ln>
  </c:spPr>
  <c:txPr>
    <a:bodyPr/>
    <a:lstStyle/>
    <a:p>
      <a:pPr>
        <a:defRPr sz="833" b="0" i="0" u="none" strike="noStrike" baseline="0">
          <a:solidFill>
            <a:srgbClr val="000000"/>
          </a:solidFill>
          <a:latin typeface="Segoe UI Light" panose="020B0502040204020203" pitchFamily="34" charset="0"/>
          <a:ea typeface="Garamond"/>
          <a:cs typeface="Segoe UI Light" panose="020B0502040204020203" pitchFamily="34" charset="0"/>
        </a:defRPr>
      </a:pPr>
      <a:endParaRPr lang="et-EE"/>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4742729306487913E-2"/>
          <c:y val="3.6563071297989032E-2"/>
          <c:w val="0.94174545703441093"/>
          <c:h val="0.83546617915901911"/>
        </c:manualLayout>
      </c:layout>
      <c:barChart>
        <c:barDir val="col"/>
        <c:grouping val="clustered"/>
        <c:varyColors val="0"/>
        <c:ser>
          <c:idx val="19"/>
          <c:order val="0"/>
          <c:spPr>
            <a:solidFill>
              <a:srgbClr val="FFC000"/>
            </a:solidFill>
            <a:ln w="1379">
              <a:noFill/>
              <a:prstDash val="solid"/>
            </a:ln>
          </c:spPr>
          <c:invertIfNegative val="0"/>
          <c:dPt>
            <c:idx val="7"/>
            <c:invertIfNegative val="0"/>
            <c:bubble3D val="0"/>
            <c:spPr>
              <a:solidFill>
                <a:schemeClr val="accent2">
                  <a:lumMod val="50000"/>
                </a:schemeClr>
              </a:solidFill>
              <a:ln w="1379">
                <a:noFill/>
                <a:prstDash val="solid"/>
              </a:ln>
            </c:spPr>
            <c:extLst>
              <c:ext xmlns:c16="http://schemas.microsoft.com/office/drawing/2014/chart" uri="{C3380CC4-5D6E-409C-BE32-E72D297353CC}">
                <c16:uniqueId val="{00000001-853D-405B-AE2D-651713677625}"/>
              </c:ext>
            </c:extLst>
          </c:dPt>
          <c:dPt>
            <c:idx val="8"/>
            <c:invertIfNegative val="0"/>
            <c:bubble3D val="0"/>
            <c:extLst>
              <c:ext xmlns:c16="http://schemas.microsoft.com/office/drawing/2014/chart" uri="{C3380CC4-5D6E-409C-BE32-E72D297353CC}">
                <c16:uniqueId val="{00000002-853D-405B-AE2D-651713677625}"/>
              </c:ext>
            </c:extLst>
          </c:dPt>
          <c:dPt>
            <c:idx val="18"/>
            <c:invertIfNegative val="0"/>
            <c:bubble3D val="0"/>
            <c:extLst>
              <c:ext xmlns:c16="http://schemas.microsoft.com/office/drawing/2014/chart" uri="{C3380CC4-5D6E-409C-BE32-E72D297353CC}">
                <c16:uniqueId val="{00000003-853D-405B-AE2D-651713677625}"/>
              </c:ext>
            </c:extLst>
          </c:dPt>
          <c:dPt>
            <c:idx val="19"/>
            <c:invertIfNegative val="0"/>
            <c:bubble3D val="0"/>
            <c:spPr>
              <a:solidFill>
                <a:srgbClr val="FFFF00"/>
              </a:solidFill>
              <a:ln w="1379">
                <a:noFill/>
                <a:prstDash val="solid"/>
              </a:ln>
            </c:spPr>
            <c:extLst>
              <c:ext xmlns:c16="http://schemas.microsoft.com/office/drawing/2014/chart" uri="{C3380CC4-5D6E-409C-BE32-E72D297353CC}">
                <c16:uniqueId val="{00000005-853D-405B-AE2D-651713677625}"/>
              </c:ext>
            </c:extLst>
          </c:dPt>
          <c:dPt>
            <c:idx val="21"/>
            <c:invertIfNegative val="0"/>
            <c:bubble3D val="0"/>
            <c:spPr>
              <a:solidFill>
                <a:srgbClr val="FFFF00"/>
              </a:solidFill>
              <a:ln w="1379">
                <a:noFill/>
                <a:prstDash val="solid"/>
              </a:ln>
            </c:spPr>
            <c:extLst>
              <c:ext xmlns:c16="http://schemas.microsoft.com/office/drawing/2014/chart" uri="{C3380CC4-5D6E-409C-BE32-E72D297353CC}">
                <c16:uniqueId val="{00000007-853D-405B-AE2D-651713677625}"/>
              </c:ext>
            </c:extLst>
          </c:dPt>
          <c:dLbls>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3D-405B-AE2D-651713677625}"/>
                </c:ext>
              </c:extLst>
            </c:dLbl>
            <c:dLbl>
              <c:idx val="19"/>
              <c:layout>
                <c:manualLayout>
                  <c:x val="0"/>
                  <c:y val="1.9484212993131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3D-405B-AE2D-651713677625}"/>
                </c:ext>
              </c:extLst>
            </c:dLbl>
            <c:dLbl>
              <c:idx val="21"/>
              <c:layout>
                <c:manualLayout>
                  <c:x val="-1.5222104035328879E-16"/>
                  <c:y val="1.9762845849802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3D-405B-AE2D-651713677625}"/>
                </c:ext>
              </c:extLst>
            </c:dLbl>
            <c:spPr>
              <a:noFill/>
              <a:ln>
                <a:noFill/>
              </a:ln>
              <a:effectLst/>
            </c:spPr>
            <c:txPr>
              <a:bodyPr wrap="square" lIns="38100" tIns="19050" rIns="38100" bIns="19050" anchor="ctr">
                <a:spAutoFit/>
              </a:bodyPr>
              <a:lstStyle/>
              <a:p>
                <a:pPr>
                  <a:defRPr b="1"/>
                </a:pPr>
                <a:endParaRPr lang="et-EE"/>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Joonised!$M$442:$M$471</c:f>
              <c:strCache>
                <c:ptCount val="30"/>
                <c:pt idx="0">
                  <c:v>IE</c:v>
                </c:pt>
                <c:pt idx="1">
                  <c:v>UK</c:v>
                </c:pt>
                <c:pt idx="2">
                  <c:v>LT</c:v>
                </c:pt>
                <c:pt idx="3">
                  <c:v>RO</c:v>
                </c:pt>
                <c:pt idx="4">
                  <c:v>BG</c:v>
                </c:pt>
                <c:pt idx="5">
                  <c:v>MT</c:v>
                </c:pt>
                <c:pt idx="6">
                  <c:v>LV</c:v>
                </c:pt>
                <c:pt idx="7">
                  <c:v>EE</c:v>
                </c:pt>
                <c:pt idx="8">
                  <c:v>CY</c:v>
                </c:pt>
                <c:pt idx="9">
                  <c:v>CZ</c:v>
                </c:pt>
                <c:pt idx="10">
                  <c:v>PL</c:v>
                </c:pt>
                <c:pt idx="11">
                  <c:v>NL</c:v>
                </c:pt>
                <c:pt idx="12">
                  <c:v>ES</c:v>
                </c:pt>
                <c:pt idx="13">
                  <c:v>LU</c:v>
                </c:pt>
                <c:pt idx="14">
                  <c:v>SK</c:v>
                </c:pt>
                <c:pt idx="15">
                  <c:v>PT</c:v>
                </c:pt>
                <c:pt idx="16">
                  <c:v>SI</c:v>
                </c:pt>
                <c:pt idx="17">
                  <c:v>DE</c:v>
                </c:pt>
                <c:pt idx="18">
                  <c:v>HU</c:v>
                </c:pt>
                <c:pt idx="19">
                  <c:v>EL</c:v>
                </c:pt>
                <c:pt idx="20">
                  <c:v>HR</c:v>
                </c:pt>
                <c:pt idx="21">
                  <c:v>€</c:v>
                </c:pt>
                <c:pt idx="22">
                  <c:v>GR</c:v>
                </c:pt>
                <c:pt idx="23">
                  <c:v>AT</c:v>
                </c:pt>
                <c:pt idx="24">
                  <c:v>IT</c:v>
                </c:pt>
                <c:pt idx="25">
                  <c:v>DK</c:v>
                </c:pt>
                <c:pt idx="26">
                  <c:v>SE</c:v>
                </c:pt>
                <c:pt idx="27">
                  <c:v>BE</c:v>
                </c:pt>
                <c:pt idx="28">
                  <c:v>FI</c:v>
                </c:pt>
                <c:pt idx="29">
                  <c:v>FR</c:v>
                </c:pt>
              </c:strCache>
            </c:strRef>
          </c:cat>
          <c:val>
            <c:numRef>
              <c:f>Joonised!$N$442:$N$471</c:f>
              <c:numCache>
                <c:formatCode>0.0</c:formatCode>
                <c:ptCount val="30"/>
                <c:pt idx="0">
                  <c:v>27.4</c:v>
                </c:pt>
                <c:pt idx="1">
                  <c:v>41.1</c:v>
                </c:pt>
                <c:pt idx="2">
                  <c:v>42.9</c:v>
                </c:pt>
                <c:pt idx="3">
                  <c:v>42.2</c:v>
                </c:pt>
                <c:pt idx="4">
                  <c:v>41.8</c:v>
                </c:pt>
                <c:pt idx="5">
                  <c:v>45.9</c:v>
                </c:pt>
                <c:pt idx="6">
                  <c:v>43.1</c:v>
                </c:pt>
                <c:pt idx="7">
                  <c:v>45.9</c:v>
                </c:pt>
                <c:pt idx="8">
                  <c:v>45.1</c:v>
                </c:pt>
                <c:pt idx="9">
                  <c:v>47.2</c:v>
                </c:pt>
                <c:pt idx="10">
                  <c:v>48.7</c:v>
                </c:pt>
                <c:pt idx="11">
                  <c:v>48</c:v>
                </c:pt>
                <c:pt idx="12">
                  <c:v>52.4</c:v>
                </c:pt>
                <c:pt idx="13">
                  <c:v>47.2</c:v>
                </c:pt>
                <c:pt idx="14">
                  <c:v>45.6</c:v>
                </c:pt>
                <c:pt idx="15">
                  <c:v>49.3</c:v>
                </c:pt>
                <c:pt idx="16">
                  <c:v>51.3</c:v>
                </c:pt>
                <c:pt idx="17">
                  <c:v>50.8</c:v>
                </c:pt>
                <c:pt idx="18">
                  <c:v>51.6</c:v>
                </c:pt>
                <c:pt idx="19">
                  <c:v>53.1</c:v>
                </c:pt>
                <c:pt idx="20">
                  <c:v>54.5</c:v>
                </c:pt>
                <c:pt idx="21">
                  <c:v>53.8</c:v>
                </c:pt>
                <c:pt idx="22">
                  <c:v>59.8</c:v>
                </c:pt>
                <c:pt idx="23">
                  <c:v>57.1</c:v>
                </c:pt>
                <c:pt idx="24">
                  <c:v>57.1</c:v>
                </c:pt>
                <c:pt idx="25">
                  <c:v>53.4</c:v>
                </c:pt>
                <c:pt idx="26">
                  <c:v>52.6</c:v>
                </c:pt>
                <c:pt idx="27">
                  <c:v>59.2</c:v>
                </c:pt>
                <c:pt idx="28">
                  <c:v>57.5</c:v>
                </c:pt>
                <c:pt idx="29">
                  <c:v>61.6</c:v>
                </c:pt>
              </c:numCache>
            </c:numRef>
          </c:val>
          <c:extLst>
            <c:ext xmlns:c16="http://schemas.microsoft.com/office/drawing/2014/chart" uri="{C3380CC4-5D6E-409C-BE32-E72D297353CC}">
              <c16:uniqueId val="{00000008-853D-405B-AE2D-651713677625}"/>
            </c:ext>
          </c:extLst>
        </c:ser>
        <c:dLbls>
          <c:showLegendKey val="0"/>
          <c:showVal val="0"/>
          <c:showCatName val="0"/>
          <c:showSerName val="0"/>
          <c:showPercent val="0"/>
          <c:showBubbleSize val="0"/>
        </c:dLbls>
        <c:gapWidth val="50"/>
        <c:overlap val="50"/>
        <c:axId val="436893632"/>
        <c:axId val="436894024"/>
      </c:barChart>
      <c:catAx>
        <c:axId val="436893632"/>
        <c:scaling>
          <c:orientation val="minMax"/>
        </c:scaling>
        <c:delete val="0"/>
        <c:axPos val="b"/>
        <c:numFmt formatCode="General" sourceLinked="1"/>
        <c:majorTickMark val="out"/>
        <c:minorTickMark val="none"/>
        <c:tickLblPos val="low"/>
        <c:spPr>
          <a:ln w="1379">
            <a:solidFill>
              <a:srgbClr val="000000"/>
            </a:solidFill>
            <a:prstDash val="solid"/>
          </a:ln>
        </c:spPr>
        <c:txPr>
          <a:bodyPr rot="0" vert="horz"/>
          <a:lstStyle/>
          <a:p>
            <a:pPr>
              <a:defRPr/>
            </a:pPr>
            <a:endParaRPr lang="et-EE"/>
          </a:p>
        </c:txPr>
        <c:crossAx val="436894024"/>
        <c:crosses val="autoZero"/>
        <c:auto val="1"/>
        <c:lblAlgn val="ctr"/>
        <c:lblOffset val="0"/>
        <c:tickLblSkip val="1"/>
        <c:tickMarkSkip val="1"/>
        <c:noMultiLvlLbl val="0"/>
      </c:catAx>
      <c:valAx>
        <c:axId val="436894024"/>
        <c:scaling>
          <c:orientation val="minMax"/>
          <c:max val="65"/>
          <c:min val="0"/>
        </c:scaling>
        <c:delete val="0"/>
        <c:axPos val="l"/>
        <c:majorGridlines>
          <c:spPr>
            <a:ln w="1379">
              <a:solidFill>
                <a:srgbClr val="000000"/>
              </a:solidFill>
              <a:prstDash val="dash"/>
            </a:ln>
          </c:spPr>
        </c:majorGridlines>
        <c:minorGridlines>
          <c:spPr>
            <a:ln w="1379">
              <a:solidFill>
                <a:srgbClr val="000000"/>
              </a:solidFill>
              <a:prstDash val="dash"/>
            </a:ln>
          </c:spPr>
        </c:minorGridlines>
        <c:numFmt formatCode="#,##0" sourceLinked="0"/>
        <c:majorTickMark val="in"/>
        <c:minorTickMark val="none"/>
        <c:tickLblPos val="nextTo"/>
        <c:spPr>
          <a:ln w="1379">
            <a:solidFill>
              <a:srgbClr val="000000"/>
            </a:solidFill>
            <a:prstDash val="solid"/>
          </a:ln>
        </c:spPr>
        <c:txPr>
          <a:bodyPr rot="0" vert="horz"/>
          <a:lstStyle/>
          <a:p>
            <a:pPr>
              <a:defRPr/>
            </a:pPr>
            <a:endParaRPr lang="et-EE"/>
          </a:p>
        </c:txPr>
        <c:crossAx val="436893632"/>
        <c:crossesAt val="1"/>
        <c:crossBetween val="between"/>
        <c:majorUnit val="10"/>
        <c:minorUnit val="10"/>
      </c:valAx>
      <c:spPr>
        <a:noFill/>
        <a:ln w="1379">
          <a:noFill/>
          <a:prstDash val="solid"/>
        </a:ln>
      </c:spPr>
    </c:plotArea>
    <c:plotVisOnly val="1"/>
    <c:dispBlanksAs val="gap"/>
    <c:showDLblsOverMax val="0"/>
  </c:chart>
  <c:spPr>
    <a:noFill/>
    <a:ln>
      <a:noFill/>
    </a:ln>
  </c:spPr>
  <c:txPr>
    <a:bodyPr/>
    <a:lstStyle/>
    <a:p>
      <a:pPr>
        <a:defRPr sz="800" b="0" i="0" u="none" strike="noStrike" baseline="0">
          <a:solidFill>
            <a:sysClr val="windowText" lastClr="000000"/>
          </a:solidFill>
          <a:latin typeface="Segoe UI Light" panose="020B0502040204020203" pitchFamily="34" charset="0"/>
          <a:ea typeface="Garamond"/>
          <a:cs typeface="Garamond"/>
        </a:defRPr>
      </a:pPr>
      <a:endParaRPr lang="et-EE"/>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05507136035475E-2"/>
          <c:y val="4.7223373394115212E-2"/>
          <c:w val="0.89276361924225056"/>
          <c:h val="0.55142174208969463"/>
        </c:manualLayout>
      </c:layout>
      <c:areaChart>
        <c:grouping val="stacked"/>
        <c:varyColors val="0"/>
        <c:ser>
          <c:idx val="1"/>
          <c:order val="0"/>
          <c:tx>
            <c:strRef>
              <c:f>Joonised!$N$519</c:f>
              <c:strCache>
                <c:ptCount val="1"/>
                <c:pt idx="0">
                  <c:v>01 Üldised avalikud teenused</c:v>
                </c:pt>
              </c:strCache>
            </c:strRef>
          </c:tx>
          <c:cat>
            <c:strRef>
              <c:f>Joonised!$M$520:$M$546</c:f>
              <c:strCache>
                <c:ptCount val="27"/>
                <c:pt idx="0">
                  <c:v>`00</c:v>
                </c:pt>
                <c:pt idx="1">
                  <c:v>`01</c:v>
                </c:pt>
                <c:pt idx="2">
                  <c:v>`02</c:v>
                </c:pt>
                <c:pt idx="3">
                  <c:v>`03</c:v>
                </c:pt>
                <c:pt idx="4">
                  <c:v>`04</c:v>
                </c:pt>
                <c:pt idx="5">
                  <c:v>`05</c:v>
                </c:pt>
                <c:pt idx="6">
                  <c:v>`06</c:v>
                </c:pt>
                <c:pt idx="7">
                  <c:v>`07</c:v>
                </c:pt>
                <c:pt idx="8">
                  <c:v>`08</c:v>
                </c:pt>
                <c:pt idx="9">
                  <c:v>`09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strCache>
            </c:strRef>
          </c:cat>
          <c:val>
            <c:numRef>
              <c:f>Joonised!$N$520:$N$546</c:f>
              <c:numCache>
                <c:formatCode>0.0</c:formatCode>
                <c:ptCount val="27"/>
                <c:pt idx="0">
                  <c:v>3.5422007342016069</c:v>
                </c:pt>
                <c:pt idx="1">
                  <c:v>2.9976184236259815</c:v>
                </c:pt>
                <c:pt idx="2">
                  <c:v>3.3587409073013186</c:v>
                </c:pt>
                <c:pt idx="3">
                  <c:v>3.1185572584717414</c:v>
                </c:pt>
                <c:pt idx="4">
                  <c:v>3.1504954870175039</c:v>
                </c:pt>
                <c:pt idx="5">
                  <c:v>3.1094351270478144</c:v>
                </c:pt>
                <c:pt idx="6">
                  <c:v>3.43644593381355</c:v>
                </c:pt>
                <c:pt idx="7">
                  <c:v>3.3453784030322136</c:v>
                </c:pt>
                <c:pt idx="8">
                  <c:v>3.1589791412715491</c:v>
                </c:pt>
                <c:pt idx="9">
                  <c:v>3.7335143808697477</c:v>
                </c:pt>
                <c:pt idx="10">
                  <c:v>3.2691731911139601</c:v>
                </c:pt>
                <c:pt idx="11">
                  <c:v>3.3756796429749061</c:v>
                </c:pt>
                <c:pt idx="12">
                  <c:v>3.958841104610626</c:v>
                </c:pt>
                <c:pt idx="13">
                  <c:v>3.9304606571343528</c:v>
                </c:pt>
                <c:pt idx="14">
                  <c:v>3.8756214225204553</c:v>
                </c:pt>
                <c:pt idx="15">
                  <c:v>4.0293146820607522</c:v>
                </c:pt>
                <c:pt idx="16">
                  <c:v>3.9631412688121608</c:v>
                </c:pt>
                <c:pt idx="17">
                  <c:v>3.8512855800214818</c:v>
                </c:pt>
                <c:pt idx="18">
                  <c:v>3.8988906792265743</c:v>
                </c:pt>
                <c:pt idx="19">
                  <c:v>3.5730769785521628</c:v>
                </c:pt>
                <c:pt idx="20">
                  <c:v>4.0403061718825697</c:v>
                </c:pt>
                <c:pt idx="21">
                  <c:v>4.0450656418605675</c:v>
                </c:pt>
                <c:pt idx="22">
                  <c:v>4.0458249965462354</c:v>
                </c:pt>
                <c:pt idx="23">
                  <c:v>4.0429536070250647</c:v>
                </c:pt>
                <c:pt idx="24">
                  <c:v>3.955579684152243</c:v>
                </c:pt>
                <c:pt idx="25">
                  <c:v>3.7409622815495118</c:v>
                </c:pt>
                <c:pt idx="26">
                  <c:v>3.5577996234574125</c:v>
                </c:pt>
              </c:numCache>
            </c:numRef>
          </c:val>
          <c:extLst>
            <c:ext xmlns:c16="http://schemas.microsoft.com/office/drawing/2014/chart" uri="{C3380CC4-5D6E-409C-BE32-E72D297353CC}">
              <c16:uniqueId val="{00000000-D8FA-4936-928F-5E82025D4A7B}"/>
            </c:ext>
          </c:extLst>
        </c:ser>
        <c:ser>
          <c:idx val="2"/>
          <c:order val="1"/>
          <c:tx>
            <c:strRef>
              <c:f>Joonised!$O$519</c:f>
              <c:strCache>
                <c:ptCount val="1"/>
                <c:pt idx="0">
                  <c:v>02 Riigikaitse</c:v>
                </c:pt>
              </c:strCache>
            </c:strRef>
          </c:tx>
          <c:cat>
            <c:strRef>
              <c:f>Joonised!$M$520:$M$546</c:f>
              <c:strCache>
                <c:ptCount val="27"/>
                <c:pt idx="0">
                  <c:v>`00</c:v>
                </c:pt>
                <c:pt idx="1">
                  <c:v>`01</c:v>
                </c:pt>
                <c:pt idx="2">
                  <c:v>`02</c:v>
                </c:pt>
                <c:pt idx="3">
                  <c:v>`03</c:v>
                </c:pt>
                <c:pt idx="4">
                  <c:v>`04</c:v>
                </c:pt>
                <c:pt idx="5">
                  <c:v>`05</c:v>
                </c:pt>
                <c:pt idx="6">
                  <c:v>`06</c:v>
                </c:pt>
                <c:pt idx="7">
                  <c:v>`07</c:v>
                </c:pt>
                <c:pt idx="8">
                  <c:v>`08</c:v>
                </c:pt>
                <c:pt idx="9">
                  <c:v>`09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strCache>
            </c:strRef>
          </c:cat>
          <c:val>
            <c:numRef>
              <c:f>Joonised!$O$520:$O$546</c:f>
              <c:numCache>
                <c:formatCode>0.0</c:formatCode>
                <c:ptCount val="27"/>
                <c:pt idx="0">
                  <c:v>1.1990729758078531</c:v>
                </c:pt>
                <c:pt idx="1">
                  <c:v>1.2928659613348699</c:v>
                </c:pt>
                <c:pt idx="2">
                  <c:v>1.3529504073153658</c:v>
                </c:pt>
                <c:pt idx="3">
                  <c:v>1.3272159006912361</c:v>
                </c:pt>
                <c:pt idx="4">
                  <c:v>1.3583954567400147</c:v>
                </c:pt>
                <c:pt idx="5">
                  <c:v>1.3787367669718396</c:v>
                </c:pt>
                <c:pt idx="6">
                  <c:v>1.2964102900524079</c:v>
                </c:pt>
                <c:pt idx="7">
                  <c:v>1.2555840561143505</c:v>
                </c:pt>
                <c:pt idx="8">
                  <c:v>1.6936840220896545</c:v>
                </c:pt>
                <c:pt idx="9">
                  <c:v>2.217873601300687</c:v>
                </c:pt>
                <c:pt idx="10">
                  <c:v>1.7257520549922429</c:v>
                </c:pt>
                <c:pt idx="11">
                  <c:v>1.4991796759770617</c:v>
                </c:pt>
                <c:pt idx="12">
                  <c:v>1.8132223531193086</c:v>
                </c:pt>
                <c:pt idx="13">
                  <c:v>1.8220608954607587</c:v>
                </c:pt>
                <c:pt idx="14">
                  <c:v>1.7760167725755418</c:v>
                </c:pt>
                <c:pt idx="15">
                  <c:v>1.8854846761958772</c:v>
                </c:pt>
                <c:pt idx="16">
                  <c:v>2.3652858436906548</c:v>
                </c:pt>
                <c:pt idx="17">
                  <c:v>2.0374597207303973</c:v>
                </c:pt>
                <c:pt idx="18">
                  <c:v>2.0555744918195344</c:v>
                </c:pt>
                <c:pt idx="19">
                  <c:v>2.1184607174279906</c:v>
                </c:pt>
                <c:pt idx="20">
                  <c:v>2.4531761233631206</c:v>
                </c:pt>
                <c:pt idx="21">
                  <c:v>2.3964298637736334</c:v>
                </c:pt>
                <c:pt idx="22">
                  <c:v>2.0389442097584443</c:v>
                </c:pt>
                <c:pt idx="23">
                  <c:v>2.6313067592413013</c:v>
                </c:pt>
                <c:pt idx="24">
                  <c:v>2.9481877802088627</c:v>
                </c:pt>
                <c:pt idx="25">
                  <c:v>2.6549518844398854</c:v>
                </c:pt>
                <c:pt idx="26">
                  <c:v>2</c:v>
                </c:pt>
              </c:numCache>
            </c:numRef>
          </c:val>
          <c:extLst>
            <c:ext xmlns:c16="http://schemas.microsoft.com/office/drawing/2014/chart" uri="{C3380CC4-5D6E-409C-BE32-E72D297353CC}">
              <c16:uniqueId val="{00000001-D8FA-4936-928F-5E82025D4A7B}"/>
            </c:ext>
          </c:extLst>
        </c:ser>
        <c:ser>
          <c:idx val="3"/>
          <c:order val="2"/>
          <c:tx>
            <c:strRef>
              <c:f>Joonised!$P$519</c:f>
              <c:strCache>
                <c:ptCount val="1"/>
                <c:pt idx="0">
                  <c:v>03 Avalik kord ja julgeolek</c:v>
                </c:pt>
              </c:strCache>
            </c:strRef>
          </c:tx>
          <c:cat>
            <c:strRef>
              <c:f>Joonised!$M$520:$M$546</c:f>
              <c:strCache>
                <c:ptCount val="27"/>
                <c:pt idx="0">
                  <c:v>`00</c:v>
                </c:pt>
                <c:pt idx="1">
                  <c:v>`01</c:v>
                </c:pt>
                <c:pt idx="2">
                  <c:v>`02</c:v>
                </c:pt>
                <c:pt idx="3">
                  <c:v>`03</c:v>
                </c:pt>
                <c:pt idx="4">
                  <c:v>`04</c:v>
                </c:pt>
                <c:pt idx="5">
                  <c:v>`05</c:v>
                </c:pt>
                <c:pt idx="6">
                  <c:v>`06</c:v>
                </c:pt>
                <c:pt idx="7">
                  <c:v>`07</c:v>
                </c:pt>
                <c:pt idx="8">
                  <c:v>`08</c:v>
                </c:pt>
                <c:pt idx="9">
                  <c:v>`09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strCache>
            </c:strRef>
          </c:cat>
          <c:val>
            <c:numRef>
              <c:f>Joonised!$P$520:$P$546</c:f>
              <c:numCache>
                <c:formatCode>0.0</c:formatCode>
                <c:ptCount val="27"/>
                <c:pt idx="0">
                  <c:v>2.7492914789440519</c:v>
                </c:pt>
                <c:pt idx="1">
                  <c:v>2.5270953027419414</c:v>
                </c:pt>
                <c:pt idx="2">
                  <c:v>2.6624633133571503</c:v>
                </c:pt>
                <c:pt idx="3">
                  <c:v>2.5366856878844555</c:v>
                </c:pt>
                <c:pt idx="4">
                  <c:v>2.1807975254289991</c:v>
                </c:pt>
                <c:pt idx="5">
                  <c:v>2.1188264326720141</c:v>
                </c:pt>
                <c:pt idx="6">
                  <c:v>1.9999230413095166</c:v>
                </c:pt>
                <c:pt idx="7">
                  <c:v>2.1190648834372841</c:v>
                </c:pt>
                <c:pt idx="8">
                  <c:v>2.6565235548744761</c:v>
                </c:pt>
                <c:pt idx="9">
                  <c:v>2.335381498323915</c:v>
                </c:pt>
                <c:pt idx="10">
                  <c:v>2.1630771371540201</c:v>
                </c:pt>
                <c:pt idx="11">
                  <c:v>2.0405005974257744</c:v>
                </c:pt>
                <c:pt idx="12">
                  <c:v>2.0165381501235204</c:v>
                </c:pt>
                <c:pt idx="13">
                  <c:v>1.8583129721005489</c:v>
                </c:pt>
                <c:pt idx="14">
                  <c:v>1.9068394366268653</c:v>
                </c:pt>
                <c:pt idx="15">
                  <c:v>1.7778811805363697</c:v>
                </c:pt>
                <c:pt idx="16">
                  <c:v>1.9123685505267174</c:v>
                </c:pt>
                <c:pt idx="17">
                  <c:v>1.9006780343716432</c:v>
                </c:pt>
                <c:pt idx="18">
                  <c:v>1.8650068170550322</c:v>
                </c:pt>
                <c:pt idx="19">
                  <c:v>1.8018635242532202</c:v>
                </c:pt>
                <c:pt idx="20">
                  <c:v>2.0153085941284758</c:v>
                </c:pt>
                <c:pt idx="21">
                  <c:v>2.0153085941284758</c:v>
                </c:pt>
                <c:pt idx="22">
                  <c:v>2.0365244941924692</c:v>
                </c:pt>
                <c:pt idx="23">
                  <c:v>2.0401162959281778</c:v>
                </c:pt>
                <c:pt idx="24">
                  <c:v>2.050948680888248</c:v>
                </c:pt>
                <c:pt idx="25">
                  <c:v>2.0275790094650961</c:v>
                </c:pt>
                <c:pt idx="26">
                  <c:v>2.0153085941284763</c:v>
                </c:pt>
              </c:numCache>
            </c:numRef>
          </c:val>
          <c:extLst>
            <c:ext xmlns:c16="http://schemas.microsoft.com/office/drawing/2014/chart" uri="{C3380CC4-5D6E-409C-BE32-E72D297353CC}">
              <c16:uniqueId val="{00000002-D8FA-4936-928F-5E82025D4A7B}"/>
            </c:ext>
          </c:extLst>
        </c:ser>
        <c:ser>
          <c:idx val="4"/>
          <c:order val="3"/>
          <c:tx>
            <c:strRef>
              <c:f>Joonised!$Q$519</c:f>
              <c:strCache>
                <c:ptCount val="1"/>
                <c:pt idx="0">
                  <c:v>04 Majandus</c:v>
                </c:pt>
              </c:strCache>
            </c:strRef>
          </c:tx>
          <c:cat>
            <c:strRef>
              <c:f>Joonised!$M$520:$M$546</c:f>
              <c:strCache>
                <c:ptCount val="27"/>
                <c:pt idx="0">
                  <c:v>`00</c:v>
                </c:pt>
                <c:pt idx="1">
                  <c:v>`01</c:v>
                </c:pt>
                <c:pt idx="2">
                  <c:v>`02</c:v>
                </c:pt>
                <c:pt idx="3">
                  <c:v>`03</c:v>
                </c:pt>
                <c:pt idx="4">
                  <c:v>`04</c:v>
                </c:pt>
                <c:pt idx="5">
                  <c:v>`05</c:v>
                </c:pt>
                <c:pt idx="6">
                  <c:v>`06</c:v>
                </c:pt>
                <c:pt idx="7">
                  <c:v>`07</c:v>
                </c:pt>
                <c:pt idx="8">
                  <c:v>`08</c:v>
                </c:pt>
                <c:pt idx="9">
                  <c:v>`09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strCache>
            </c:strRef>
          </c:cat>
          <c:val>
            <c:numRef>
              <c:f>Joonised!$Q$520:$Q$546</c:f>
              <c:numCache>
                <c:formatCode>0.0</c:formatCode>
                <c:ptCount val="27"/>
                <c:pt idx="0">
                  <c:v>4.5373827586575173</c:v>
                </c:pt>
                <c:pt idx="1">
                  <c:v>4.3677131038901456</c:v>
                </c:pt>
                <c:pt idx="2">
                  <c:v>4.5979872671652506</c:v>
                </c:pt>
                <c:pt idx="3">
                  <c:v>4.4766386452255649</c:v>
                </c:pt>
                <c:pt idx="4">
                  <c:v>3.86447141232212</c:v>
                </c:pt>
                <c:pt idx="5">
                  <c:v>4.0700521067230113</c:v>
                </c:pt>
                <c:pt idx="6">
                  <c:v>4.3280045462557339</c:v>
                </c:pt>
                <c:pt idx="7">
                  <c:v>4.3631393499262634</c:v>
                </c:pt>
                <c:pt idx="8">
                  <c:v>4.9139675530890763</c:v>
                </c:pt>
                <c:pt idx="9">
                  <c:v>6.2391767838620531</c:v>
                </c:pt>
                <c:pt idx="10">
                  <c:v>4.6208440989032065</c:v>
                </c:pt>
                <c:pt idx="11">
                  <c:v>4.4767418465363384</c:v>
                </c:pt>
                <c:pt idx="12">
                  <c:v>4.5754364235907019</c:v>
                </c:pt>
                <c:pt idx="13">
                  <c:v>4.5945566697821034</c:v>
                </c:pt>
                <c:pt idx="14">
                  <c:v>4.5787932417963191</c:v>
                </c:pt>
                <c:pt idx="15">
                  <c:v>4.6860837659284682</c:v>
                </c:pt>
                <c:pt idx="16">
                  <c:v>4.2951273456287735</c:v>
                </c:pt>
                <c:pt idx="17">
                  <c:v>4.6858216970998923</c:v>
                </c:pt>
                <c:pt idx="18">
                  <c:v>4.0414291026276654</c:v>
                </c:pt>
                <c:pt idx="19">
                  <c:v>3.9589072709177717</c:v>
                </c:pt>
                <c:pt idx="20">
                  <c:v>5.8901567379428057</c:v>
                </c:pt>
                <c:pt idx="21">
                  <c:v>4.7814705066471852</c:v>
                </c:pt>
                <c:pt idx="22">
                  <c:v>6.1269748677200511</c:v>
                </c:pt>
                <c:pt idx="23">
                  <c:v>6.0850860462945153</c:v>
                </c:pt>
                <c:pt idx="24">
                  <c:v>5.199120485932057</c:v>
                </c:pt>
                <c:pt idx="25">
                  <c:v>4.3029646190538422</c:v>
                </c:pt>
                <c:pt idx="26">
                  <c:v>4.1759415563595716</c:v>
                </c:pt>
              </c:numCache>
            </c:numRef>
          </c:val>
          <c:extLst>
            <c:ext xmlns:c16="http://schemas.microsoft.com/office/drawing/2014/chart" uri="{C3380CC4-5D6E-409C-BE32-E72D297353CC}">
              <c16:uniqueId val="{00000003-D8FA-4936-928F-5E82025D4A7B}"/>
            </c:ext>
          </c:extLst>
        </c:ser>
        <c:ser>
          <c:idx val="5"/>
          <c:order val="4"/>
          <c:tx>
            <c:strRef>
              <c:f>Joonised!$R$519</c:f>
              <c:strCache>
                <c:ptCount val="1"/>
                <c:pt idx="0">
                  <c:v>05 Keskkonnakaitse</c:v>
                </c:pt>
              </c:strCache>
            </c:strRef>
          </c:tx>
          <c:cat>
            <c:strRef>
              <c:f>Joonised!$M$520:$M$546</c:f>
              <c:strCache>
                <c:ptCount val="27"/>
                <c:pt idx="0">
                  <c:v>`00</c:v>
                </c:pt>
                <c:pt idx="1">
                  <c:v>`01</c:v>
                </c:pt>
                <c:pt idx="2">
                  <c:v>`02</c:v>
                </c:pt>
                <c:pt idx="3">
                  <c:v>`03</c:v>
                </c:pt>
                <c:pt idx="4">
                  <c:v>`04</c:v>
                </c:pt>
                <c:pt idx="5">
                  <c:v>`05</c:v>
                </c:pt>
                <c:pt idx="6">
                  <c:v>`06</c:v>
                </c:pt>
                <c:pt idx="7">
                  <c:v>`07</c:v>
                </c:pt>
                <c:pt idx="8">
                  <c:v>`08</c:v>
                </c:pt>
                <c:pt idx="9">
                  <c:v>`09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strCache>
            </c:strRef>
          </c:cat>
          <c:val>
            <c:numRef>
              <c:f>Joonised!$R$520:$R$546</c:f>
              <c:numCache>
                <c:formatCode>0.0</c:formatCode>
                <c:ptCount val="27"/>
                <c:pt idx="0">
                  <c:v>0.53076374637648549</c:v>
                </c:pt>
                <c:pt idx="1">
                  <c:v>0.72509186105838386</c:v>
                </c:pt>
                <c:pt idx="2">
                  <c:v>0.6170680327982262</c:v>
                </c:pt>
                <c:pt idx="3">
                  <c:v>0.71447884404136308</c:v>
                </c:pt>
                <c:pt idx="4">
                  <c:v>0.69760971498244728</c:v>
                </c:pt>
                <c:pt idx="5">
                  <c:v>0.92709682795099368</c:v>
                </c:pt>
                <c:pt idx="6">
                  <c:v>0.7927423559763016</c:v>
                </c:pt>
                <c:pt idx="7">
                  <c:v>0.85494358750476884</c:v>
                </c:pt>
                <c:pt idx="8">
                  <c:v>1.0740288670951785</c:v>
                </c:pt>
                <c:pt idx="9">
                  <c:v>0.7662640710077564</c:v>
                </c:pt>
                <c:pt idx="10">
                  <c:v>-0.25633977892867232</c:v>
                </c:pt>
                <c:pt idx="11">
                  <c:v>-0.17053688743773945</c:v>
                </c:pt>
                <c:pt idx="12">
                  <c:v>0.87697249770481689</c:v>
                </c:pt>
                <c:pt idx="13">
                  <c:v>0.6619944429874729</c:v>
                </c:pt>
                <c:pt idx="14">
                  <c:v>0.67889033996330705</c:v>
                </c:pt>
                <c:pt idx="15">
                  <c:v>0.72462714419353125</c:v>
                </c:pt>
                <c:pt idx="16">
                  <c:v>0.59224108994431646</c:v>
                </c:pt>
                <c:pt idx="17">
                  <c:v>0.73551624597207299</c:v>
                </c:pt>
                <c:pt idx="18">
                  <c:v>0.75065071888943979</c:v>
                </c:pt>
                <c:pt idx="19">
                  <c:v>0.6753833061689577</c:v>
                </c:pt>
                <c:pt idx="20">
                  <c:v>0.68344599882241586</c:v>
                </c:pt>
                <c:pt idx="21">
                  <c:v>0.68344599882241586</c:v>
                </c:pt>
                <c:pt idx="22">
                  <c:v>0.68344599882241597</c:v>
                </c:pt>
                <c:pt idx="23">
                  <c:v>0.68344599882241608</c:v>
                </c:pt>
                <c:pt idx="24">
                  <c:v>0.68344599882241597</c:v>
                </c:pt>
                <c:pt idx="25">
                  <c:v>0.68344599882241597</c:v>
                </c:pt>
                <c:pt idx="26">
                  <c:v>0.68344599882241586</c:v>
                </c:pt>
              </c:numCache>
            </c:numRef>
          </c:val>
          <c:extLst>
            <c:ext xmlns:c16="http://schemas.microsoft.com/office/drawing/2014/chart" uri="{C3380CC4-5D6E-409C-BE32-E72D297353CC}">
              <c16:uniqueId val="{00000004-D8FA-4936-928F-5E82025D4A7B}"/>
            </c:ext>
          </c:extLst>
        </c:ser>
        <c:ser>
          <c:idx val="0"/>
          <c:order val="5"/>
          <c:tx>
            <c:strRef>
              <c:f>Joonised!$S$519</c:f>
              <c:strCache>
                <c:ptCount val="1"/>
                <c:pt idx="0">
                  <c:v>06 Elamu- ja kommunaalmajandus</c:v>
                </c:pt>
              </c:strCache>
            </c:strRef>
          </c:tx>
          <c:spPr>
            <a:ln w="25400">
              <a:noFill/>
            </a:ln>
          </c:spPr>
          <c:cat>
            <c:strRef>
              <c:f>Joonised!$M$520:$M$546</c:f>
              <c:strCache>
                <c:ptCount val="27"/>
                <c:pt idx="0">
                  <c:v>`00</c:v>
                </c:pt>
                <c:pt idx="1">
                  <c:v>`01</c:v>
                </c:pt>
                <c:pt idx="2">
                  <c:v>`02</c:v>
                </c:pt>
                <c:pt idx="3">
                  <c:v>`03</c:v>
                </c:pt>
                <c:pt idx="4">
                  <c:v>`04</c:v>
                </c:pt>
                <c:pt idx="5">
                  <c:v>`05</c:v>
                </c:pt>
                <c:pt idx="6">
                  <c:v>`06</c:v>
                </c:pt>
                <c:pt idx="7">
                  <c:v>`07</c:v>
                </c:pt>
                <c:pt idx="8">
                  <c:v>`08</c:v>
                </c:pt>
                <c:pt idx="9">
                  <c:v>`09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strCache>
            </c:strRef>
          </c:cat>
          <c:val>
            <c:numRef>
              <c:f>Joonised!$S$520:$S$546</c:f>
              <c:numCache>
                <c:formatCode>0.0</c:formatCode>
                <c:ptCount val="27"/>
                <c:pt idx="0">
                  <c:v>0.38189098824649576</c:v>
                </c:pt>
                <c:pt idx="1">
                  <c:v>0.34323875079686811</c:v>
                </c:pt>
                <c:pt idx="2">
                  <c:v>0.36027574585734951</c:v>
                </c:pt>
                <c:pt idx="3">
                  <c:v>0.37838799580430588</c:v>
                </c:pt>
                <c:pt idx="4">
                  <c:v>0.279248463622006</c:v>
                </c:pt>
                <c:pt idx="5">
                  <c:v>0.17642185118001782</c:v>
                </c:pt>
                <c:pt idx="6">
                  <c:v>1.2536390745671748E-2</c:v>
                </c:pt>
                <c:pt idx="7">
                  <c:v>0.5805323076351927</c:v>
                </c:pt>
                <c:pt idx="8">
                  <c:v>0.57698249155644732</c:v>
                </c:pt>
                <c:pt idx="9">
                  <c:v>4.7143886829678308E-2</c:v>
                </c:pt>
                <c:pt idx="10">
                  <c:v>0.47029266527858787</c:v>
                </c:pt>
                <c:pt idx="11">
                  <c:v>0.53894410071787346</c:v>
                </c:pt>
                <c:pt idx="12">
                  <c:v>0.65426691079557076</c:v>
                </c:pt>
                <c:pt idx="13">
                  <c:v>0.59632039110379498</c:v>
                </c:pt>
                <c:pt idx="14">
                  <c:v>0.50941552516954713</c:v>
                </c:pt>
                <c:pt idx="15">
                  <c:v>0.35722421757232947</c:v>
                </c:pt>
                <c:pt idx="16">
                  <c:v>0.34164218154396514</c:v>
                </c:pt>
                <c:pt idx="17">
                  <c:v>0.35621979054779807</c:v>
                </c:pt>
                <c:pt idx="18">
                  <c:v>0.3338807635101636</c:v>
                </c:pt>
                <c:pt idx="19">
                  <c:v>0.38583029236560851</c:v>
                </c:pt>
                <c:pt idx="20">
                  <c:v>0.40321078011224315</c:v>
                </c:pt>
                <c:pt idx="21">
                  <c:v>0.40321078011224315</c:v>
                </c:pt>
                <c:pt idx="22">
                  <c:v>0.40321078011224321</c:v>
                </c:pt>
                <c:pt idx="23">
                  <c:v>0.40321078011224332</c:v>
                </c:pt>
                <c:pt idx="24">
                  <c:v>0.40321078011224321</c:v>
                </c:pt>
                <c:pt idx="25">
                  <c:v>0.40321078011224315</c:v>
                </c:pt>
                <c:pt idx="26">
                  <c:v>0.40321078011224321</c:v>
                </c:pt>
              </c:numCache>
            </c:numRef>
          </c:val>
          <c:extLst>
            <c:ext xmlns:c16="http://schemas.microsoft.com/office/drawing/2014/chart" uri="{C3380CC4-5D6E-409C-BE32-E72D297353CC}">
              <c16:uniqueId val="{00000005-D8FA-4936-928F-5E82025D4A7B}"/>
            </c:ext>
          </c:extLst>
        </c:ser>
        <c:ser>
          <c:idx val="6"/>
          <c:order val="6"/>
          <c:tx>
            <c:strRef>
              <c:f>Joonised!$T$519</c:f>
              <c:strCache>
                <c:ptCount val="1"/>
                <c:pt idx="0">
                  <c:v>07 Tervishoid</c:v>
                </c:pt>
              </c:strCache>
            </c:strRef>
          </c:tx>
          <c:spPr>
            <a:ln w="25400">
              <a:noFill/>
            </a:ln>
          </c:spPr>
          <c:cat>
            <c:strRef>
              <c:f>Joonised!$M$520:$M$546</c:f>
              <c:strCache>
                <c:ptCount val="27"/>
                <c:pt idx="0">
                  <c:v>`00</c:v>
                </c:pt>
                <c:pt idx="1">
                  <c:v>`01</c:v>
                </c:pt>
                <c:pt idx="2">
                  <c:v>`02</c:v>
                </c:pt>
                <c:pt idx="3">
                  <c:v>`03</c:v>
                </c:pt>
                <c:pt idx="4">
                  <c:v>`04</c:v>
                </c:pt>
                <c:pt idx="5">
                  <c:v>`05</c:v>
                </c:pt>
                <c:pt idx="6">
                  <c:v>`06</c:v>
                </c:pt>
                <c:pt idx="7">
                  <c:v>`07</c:v>
                </c:pt>
                <c:pt idx="8">
                  <c:v>`08</c:v>
                </c:pt>
                <c:pt idx="9">
                  <c:v>`09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strCache>
            </c:strRef>
          </c:cat>
          <c:val>
            <c:numRef>
              <c:f>Joonised!$T$520:$T$546</c:f>
              <c:numCache>
                <c:formatCode>0.0</c:formatCode>
                <c:ptCount val="27"/>
                <c:pt idx="0">
                  <c:v>4.5195827549680621</c:v>
                </c:pt>
                <c:pt idx="1">
                  <c:v>4.3348193902721137</c:v>
                </c:pt>
                <c:pt idx="2">
                  <c:v>4.3731343193961258</c:v>
                </c:pt>
                <c:pt idx="3">
                  <c:v>4.2731550704425842</c:v>
                </c:pt>
                <c:pt idx="4">
                  <c:v>4.2204364868292927</c:v>
                </c:pt>
                <c:pt idx="5">
                  <c:v>4.1185681157975162</c:v>
                </c:pt>
                <c:pt idx="6">
                  <c:v>4.3125184165110815</c:v>
                </c:pt>
                <c:pt idx="7">
                  <c:v>4.4039961404846233</c:v>
                </c:pt>
                <c:pt idx="8">
                  <c:v>5.2433283920192153</c:v>
                </c:pt>
                <c:pt idx="9">
                  <c:v>5.8936894938117241</c:v>
                </c:pt>
                <c:pt idx="10">
                  <c:v>5.6253461722378733</c:v>
                </c:pt>
                <c:pt idx="11">
                  <c:v>5.1874112450573708</c:v>
                </c:pt>
                <c:pt idx="12">
                  <c:v>5.1992336645355053</c:v>
                </c:pt>
                <c:pt idx="13">
                  <c:v>5.2003341243571475</c:v>
                </c:pt>
                <c:pt idx="14">
                  <c:v>5.2705676320071042</c:v>
                </c:pt>
                <c:pt idx="15">
                  <c:v>5.6772961471162748</c:v>
                </c:pt>
                <c:pt idx="16">
                  <c:v>5.4023606876985824</c:v>
                </c:pt>
                <c:pt idx="17">
                  <c:v>5.2451161385606868</c:v>
                </c:pt>
                <c:pt idx="18">
                  <c:v>5.4598413485374317</c:v>
                </c:pt>
                <c:pt idx="19">
                  <c:v>5.6875712163390117</c:v>
                </c:pt>
                <c:pt idx="20">
                  <c:v>6.708503201091129</c:v>
                </c:pt>
                <c:pt idx="21">
                  <c:v>6.3940250167845738</c:v>
                </c:pt>
                <c:pt idx="22">
                  <c:v>6.3163466060155198</c:v>
                </c:pt>
                <c:pt idx="23">
                  <c:v>6.2302434702763163</c:v>
                </c:pt>
                <c:pt idx="24">
                  <c:v>6.3071599190571188</c:v>
                </c:pt>
                <c:pt idx="25">
                  <c:v>6.2542436693356587</c:v>
                </c:pt>
                <c:pt idx="26">
                  <c:v>6.1883483794039744</c:v>
                </c:pt>
              </c:numCache>
            </c:numRef>
          </c:val>
          <c:extLst>
            <c:ext xmlns:c16="http://schemas.microsoft.com/office/drawing/2014/chart" uri="{C3380CC4-5D6E-409C-BE32-E72D297353CC}">
              <c16:uniqueId val="{00000006-D8FA-4936-928F-5E82025D4A7B}"/>
            </c:ext>
          </c:extLst>
        </c:ser>
        <c:ser>
          <c:idx val="7"/>
          <c:order val="7"/>
          <c:tx>
            <c:strRef>
              <c:f>Joonised!$U$519</c:f>
              <c:strCache>
                <c:ptCount val="1"/>
                <c:pt idx="0">
                  <c:v>08 Vaba aeg, kultuur ja religioon</c:v>
                </c:pt>
              </c:strCache>
            </c:strRef>
          </c:tx>
          <c:spPr>
            <a:ln w="25400">
              <a:noFill/>
            </a:ln>
          </c:spPr>
          <c:cat>
            <c:strRef>
              <c:f>Joonised!$M$520:$M$546</c:f>
              <c:strCache>
                <c:ptCount val="27"/>
                <c:pt idx="0">
                  <c:v>`00</c:v>
                </c:pt>
                <c:pt idx="1">
                  <c:v>`01</c:v>
                </c:pt>
                <c:pt idx="2">
                  <c:v>`02</c:v>
                </c:pt>
                <c:pt idx="3">
                  <c:v>`03</c:v>
                </c:pt>
                <c:pt idx="4">
                  <c:v>`04</c:v>
                </c:pt>
                <c:pt idx="5">
                  <c:v>`05</c:v>
                </c:pt>
                <c:pt idx="6">
                  <c:v>`06</c:v>
                </c:pt>
                <c:pt idx="7">
                  <c:v>`07</c:v>
                </c:pt>
                <c:pt idx="8">
                  <c:v>`08</c:v>
                </c:pt>
                <c:pt idx="9">
                  <c:v>`09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strCache>
            </c:strRef>
          </c:cat>
          <c:val>
            <c:numRef>
              <c:f>Joonised!$U$520:$U$546</c:f>
              <c:numCache>
                <c:formatCode>0.0</c:formatCode>
                <c:ptCount val="27"/>
                <c:pt idx="0">
                  <c:v>1.9660913166080183</c:v>
                </c:pt>
                <c:pt idx="1">
                  <c:v>2.0236784682398685</c:v>
                </c:pt>
                <c:pt idx="2">
                  <c:v>2.2472519041243895</c:v>
                </c:pt>
                <c:pt idx="3">
                  <c:v>2.1834473473904055</c:v>
                </c:pt>
                <c:pt idx="4">
                  <c:v>2.1501108810749328</c:v>
                </c:pt>
                <c:pt idx="5">
                  <c:v>2.3199473430172346</c:v>
                </c:pt>
                <c:pt idx="6">
                  <c:v>2.2049299017387369</c:v>
                </c:pt>
                <c:pt idx="7">
                  <c:v>2.059304204710132</c:v>
                </c:pt>
                <c:pt idx="8">
                  <c:v>2.3548097936647507</c:v>
                </c:pt>
                <c:pt idx="9">
                  <c:v>2.4493711948374659</c:v>
                </c:pt>
                <c:pt idx="10">
                  <c:v>2.1798973326217808</c:v>
                </c:pt>
                <c:pt idx="11">
                  <c:v>1.9769206428758161</c:v>
                </c:pt>
                <c:pt idx="12">
                  <c:v>1.8520019329293762</c:v>
                </c:pt>
                <c:pt idx="13">
                  <c:v>2.0810793560899841</c:v>
                </c:pt>
                <c:pt idx="14">
                  <c:v>2.0094162982125621</c:v>
                </c:pt>
                <c:pt idx="15">
                  <c:v>1.9964810748716755</c:v>
                </c:pt>
                <c:pt idx="16">
                  <c:v>2.0604288230127965</c:v>
                </c:pt>
                <c:pt idx="17">
                  <c:v>2.1448711063372716</c:v>
                </c:pt>
                <c:pt idx="18">
                  <c:v>1.971523301933565</c:v>
                </c:pt>
                <c:pt idx="19">
                  <c:v>2.0348040559057279</c:v>
                </c:pt>
                <c:pt idx="20">
                  <c:v>2.0648714719056742</c:v>
                </c:pt>
                <c:pt idx="21">
                  <c:v>2.0648714719056742</c:v>
                </c:pt>
                <c:pt idx="22">
                  <c:v>2.0648714719056747</c:v>
                </c:pt>
                <c:pt idx="23">
                  <c:v>2.0648714719056747</c:v>
                </c:pt>
                <c:pt idx="24">
                  <c:v>2.0648714719056742</c:v>
                </c:pt>
                <c:pt idx="25">
                  <c:v>2.0648714719056742</c:v>
                </c:pt>
                <c:pt idx="26">
                  <c:v>2.0648714719056742</c:v>
                </c:pt>
              </c:numCache>
            </c:numRef>
          </c:val>
          <c:extLst>
            <c:ext xmlns:c16="http://schemas.microsoft.com/office/drawing/2014/chart" uri="{C3380CC4-5D6E-409C-BE32-E72D297353CC}">
              <c16:uniqueId val="{00000007-D8FA-4936-928F-5E82025D4A7B}"/>
            </c:ext>
          </c:extLst>
        </c:ser>
        <c:ser>
          <c:idx val="8"/>
          <c:order val="8"/>
          <c:tx>
            <c:strRef>
              <c:f>Joonised!$V$519</c:f>
              <c:strCache>
                <c:ptCount val="1"/>
                <c:pt idx="0">
                  <c:v>09 Haridus</c:v>
                </c:pt>
              </c:strCache>
            </c:strRef>
          </c:tx>
          <c:spPr>
            <a:ln w="25400">
              <a:noFill/>
            </a:ln>
          </c:spPr>
          <c:cat>
            <c:strRef>
              <c:f>Joonised!$M$520:$M$546</c:f>
              <c:strCache>
                <c:ptCount val="27"/>
                <c:pt idx="0">
                  <c:v>`00</c:v>
                </c:pt>
                <c:pt idx="1">
                  <c:v>`01</c:v>
                </c:pt>
                <c:pt idx="2">
                  <c:v>`02</c:v>
                </c:pt>
                <c:pt idx="3">
                  <c:v>`03</c:v>
                </c:pt>
                <c:pt idx="4">
                  <c:v>`04</c:v>
                </c:pt>
                <c:pt idx="5">
                  <c:v>`05</c:v>
                </c:pt>
                <c:pt idx="6">
                  <c:v>`06</c:v>
                </c:pt>
                <c:pt idx="7">
                  <c:v>`07</c:v>
                </c:pt>
                <c:pt idx="8">
                  <c:v>`08</c:v>
                </c:pt>
                <c:pt idx="9">
                  <c:v>`09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strCache>
            </c:strRef>
          </c:cat>
          <c:val>
            <c:numRef>
              <c:f>Joonised!$V$520:$V$546</c:f>
              <c:numCache>
                <c:formatCode>0.0</c:formatCode>
                <c:ptCount val="27"/>
                <c:pt idx="0">
                  <c:v>6.3950558709752165</c:v>
                </c:pt>
                <c:pt idx="1">
                  <c:v>6.3384755980488299</c:v>
                </c:pt>
                <c:pt idx="2">
                  <c:v>6.5169027646040423</c:v>
                </c:pt>
                <c:pt idx="3">
                  <c:v>6.2679800030060697</c:v>
                </c:pt>
                <c:pt idx="4">
                  <c:v>6.1588095218611656</c:v>
                </c:pt>
                <c:pt idx="5">
                  <c:v>5.9021930312274966</c:v>
                </c:pt>
                <c:pt idx="6">
                  <c:v>5.8603939562266696</c:v>
                </c:pt>
                <c:pt idx="7">
                  <c:v>5.7376349606507633</c:v>
                </c:pt>
                <c:pt idx="8">
                  <c:v>6.4754264208637125</c:v>
                </c:pt>
                <c:pt idx="9">
                  <c:v>6.9779988908943258</c:v>
                </c:pt>
                <c:pt idx="10">
                  <c:v>6.4636647143510642</c:v>
                </c:pt>
                <c:pt idx="11">
                  <c:v>6.0299941941400004</c:v>
                </c:pt>
                <c:pt idx="12">
                  <c:v>6.0834080842050486</c:v>
                </c:pt>
                <c:pt idx="13">
                  <c:v>5.8717856308158698</c:v>
                </c:pt>
                <c:pt idx="14">
                  <c:v>5.4851366226670404</c:v>
                </c:pt>
                <c:pt idx="15">
                  <c:v>5.9211004638583118</c:v>
                </c:pt>
                <c:pt idx="16">
                  <c:v>5.6584773702288489</c:v>
                </c:pt>
                <c:pt idx="17">
                  <c:v>5.6848314983888288</c:v>
                </c:pt>
                <c:pt idx="18">
                  <c:v>6.2263727069905803</c:v>
                </c:pt>
                <c:pt idx="19">
                  <c:v>6.1228022096897501</c:v>
                </c:pt>
                <c:pt idx="20">
                  <c:v>6.58291906717447</c:v>
                </c:pt>
                <c:pt idx="21">
                  <c:v>5.9739073711676447</c:v>
                </c:pt>
                <c:pt idx="22">
                  <c:v>5.8333040411149621</c:v>
                </c:pt>
                <c:pt idx="23">
                  <c:v>5.4914509416799442</c:v>
                </c:pt>
                <c:pt idx="24">
                  <c:v>5.3676190275074642</c:v>
                </c:pt>
                <c:pt idx="25">
                  <c:v>5.2278253117879627</c:v>
                </c:pt>
                <c:pt idx="26">
                  <c:v>5.0058492057168085</c:v>
                </c:pt>
              </c:numCache>
            </c:numRef>
          </c:val>
          <c:extLst>
            <c:ext xmlns:c16="http://schemas.microsoft.com/office/drawing/2014/chart" uri="{C3380CC4-5D6E-409C-BE32-E72D297353CC}">
              <c16:uniqueId val="{00000008-D8FA-4936-928F-5E82025D4A7B}"/>
            </c:ext>
          </c:extLst>
        </c:ser>
        <c:ser>
          <c:idx val="9"/>
          <c:order val="9"/>
          <c:tx>
            <c:strRef>
              <c:f>Joonised!$W$519</c:f>
              <c:strCache>
                <c:ptCount val="1"/>
                <c:pt idx="0">
                  <c:v>10 Sotsiaalkaitse</c:v>
                </c:pt>
              </c:strCache>
            </c:strRef>
          </c:tx>
          <c:spPr>
            <a:ln w="25400">
              <a:noFill/>
            </a:ln>
          </c:spPr>
          <c:cat>
            <c:strRef>
              <c:f>Joonised!$M$520:$M$546</c:f>
              <c:strCache>
                <c:ptCount val="27"/>
                <c:pt idx="0">
                  <c:v>`00</c:v>
                </c:pt>
                <c:pt idx="1">
                  <c:v>`01</c:v>
                </c:pt>
                <c:pt idx="2">
                  <c:v>`02</c:v>
                </c:pt>
                <c:pt idx="3">
                  <c:v>`03</c:v>
                </c:pt>
                <c:pt idx="4">
                  <c:v>`04</c:v>
                </c:pt>
                <c:pt idx="5">
                  <c:v>`05</c:v>
                </c:pt>
                <c:pt idx="6">
                  <c:v>`06</c:v>
                </c:pt>
                <c:pt idx="7">
                  <c:v>`07</c:v>
                </c:pt>
                <c:pt idx="8">
                  <c:v>`08</c:v>
                </c:pt>
                <c:pt idx="9">
                  <c:v>`09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strCache>
            </c:strRef>
          </c:cat>
          <c:val>
            <c:numRef>
              <c:f>Joonised!$W$520:$W$546</c:f>
              <c:numCache>
                <c:formatCode>0.0</c:formatCode>
                <c:ptCount val="27"/>
                <c:pt idx="0">
                  <c:v>10.495529448164286</c:v>
                </c:pt>
                <c:pt idx="1">
                  <c:v>9.9896778096505159</c:v>
                </c:pt>
                <c:pt idx="2">
                  <c:v>9.7644947715876675</c:v>
                </c:pt>
                <c:pt idx="3">
                  <c:v>9.7477777650251252</c:v>
                </c:pt>
                <c:pt idx="4">
                  <c:v>10.002823171280575</c:v>
                </c:pt>
                <c:pt idx="5">
                  <c:v>9.6167551078227724</c:v>
                </c:pt>
                <c:pt idx="6">
                  <c:v>9.212772328569244</c:v>
                </c:pt>
                <c:pt idx="7">
                  <c:v>9.0238624877999793</c:v>
                </c:pt>
                <c:pt idx="8">
                  <c:v>11.255365749351656</c:v>
                </c:pt>
                <c:pt idx="9">
                  <c:v>14.934761163580927</c:v>
                </c:pt>
                <c:pt idx="10">
                  <c:v>13.682219801295226</c:v>
                </c:pt>
                <c:pt idx="11">
                  <c:v>12.133075625753319</c:v>
                </c:pt>
                <c:pt idx="12">
                  <c:v>11.925274785593105</c:v>
                </c:pt>
                <c:pt idx="13">
                  <c:v>11.560209308772514</c:v>
                </c:pt>
                <c:pt idx="14">
                  <c:v>11.427161488725444</c:v>
                </c:pt>
                <c:pt idx="15">
                  <c:v>12.469887985730418</c:v>
                </c:pt>
                <c:pt idx="16">
                  <c:v>12.805834126513362</c:v>
                </c:pt>
                <c:pt idx="17">
                  <c:v>12.595243689581096</c:v>
                </c:pt>
                <c:pt idx="18">
                  <c:v>12.844338745661874</c:v>
                </c:pt>
                <c:pt idx="19">
                  <c:v>13.075680431552986</c:v>
                </c:pt>
                <c:pt idx="20">
                  <c:v>15.042892385204176</c:v>
                </c:pt>
                <c:pt idx="21">
                  <c:v>13.579511982455776</c:v>
                </c:pt>
                <c:pt idx="22">
                  <c:v>13.729220803986211</c:v>
                </c:pt>
                <c:pt idx="23">
                  <c:v>13.957018603502478</c:v>
                </c:pt>
                <c:pt idx="24">
                  <c:v>14.082140282095784</c:v>
                </c:pt>
                <c:pt idx="25">
                  <c:v>14.241115908191592</c:v>
                </c:pt>
                <c:pt idx="26">
                  <c:v>14.327704255542573</c:v>
                </c:pt>
              </c:numCache>
            </c:numRef>
          </c:val>
          <c:extLst>
            <c:ext xmlns:c16="http://schemas.microsoft.com/office/drawing/2014/chart" uri="{C3380CC4-5D6E-409C-BE32-E72D297353CC}">
              <c16:uniqueId val="{00000009-D8FA-4936-928F-5E82025D4A7B}"/>
            </c:ext>
          </c:extLst>
        </c:ser>
        <c:dLbls>
          <c:showLegendKey val="0"/>
          <c:showVal val="0"/>
          <c:showCatName val="0"/>
          <c:showSerName val="0"/>
          <c:showPercent val="0"/>
          <c:showBubbleSize val="0"/>
        </c:dLbls>
        <c:axId val="434321920"/>
        <c:axId val="434322312"/>
      </c:areaChart>
      <c:catAx>
        <c:axId val="434321920"/>
        <c:scaling>
          <c:orientation val="minMax"/>
        </c:scaling>
        <c:delete val="0"/>
        <c:axPos val="b"/>
        <c:numFmt formatCode="0" sourceLinked="0"/>
        <c:majorTickMark val="out"/>
        <c:minorTickMark val="none"/>
        <c:tickLblPos val="nextTo"/>
        <c:spPr>
          <a:ln w="3175">
            <a:solidFill>
              <a:sysClr val="windowText" lastClr="000000"/>
            </a:solidFill>
          </a:ln>
        </c:spPr>
        <c:txPr>
          <a:bodyPr rot="0" vert="horz"/>
          <a:lstStyle/>
          <a:p>
            <a:pPr>
              <a:defRPr/>
            </a:pPr>
            <a:endParaRPr lang="et-EE"/>
          </a:p>
        </c:txPr>
        <c:crossAx val="434322312"/>
        <c:crosses val="autoZero"/>
        <c:auto val="1"/>
        <c:lblAlgn val="ctr"/>
        <c:lblOffset val="100"/>
        <c:tickLblSkip val="2"/>
        <c:noMultiLvlLbl val="0"/>
      </c:catAx>
      <c:valAx>
        <c:axId val="434322312"/>
        <c:scaling>
          <c:orientation val="minMax"/>
          <c:max val="50"/>
          <c:min val="0"/>
        </c:scaling>
        <c:delete val="0"/>
        <c:axPos val="l"/>
        <c:majorGridlines>
          <c:spPr>
            <a:ln w="3175">
              <a:solidFill>
                <a:schemeClr val="tx1"/>
              </a:solidFill>
              <a:prstDash val="dash"/>
            </a:ln>
          </c:spPr>
        </c:majorGridlines>
        <c:numFmt formatCode="#,##0" sourceLinked="0"/>
        <c:majorTickMark val="in"/>
        <c:minorTickMark val="none"/>
        <c:tickLblPos val="nextTo"/>
        <c:spPr>
          <a:ln w="3175">
            <a:solidFill>
              <a:sysClr val="windowText" lastClr="000000"/>
            </a:solidFill>
          </a:ln>
        </c:spPr>
        <c:crossAx val="434321920"/>
        <c:crosses val="autoZero"/>
        <c:crossBetween val="midCat"/>
        <c:majorUnit val="10"/>
      </c:valAx>
      <c:spPr>
        <a:ln w="3175">
          <a:noFill/>
        </a:ln>
      </c:spPr>
    </c:plotArea>
    <c:legend>
      <c:legendPos val="b"/>
      <c:layout>
        <c:manualLayout>
          <c:xMode val="edge"/>
          <c:yMode val="edge"/>
          <c:x val="0.11586452762923352"/>
          <c:y val="0.7061254462305846"/>
          <c:w val="0.71150431100692557"/>
          <c:h val="0.25511992787605148"/>
        </c:manualLayout>
      </c:layout>
      <c:overlay val="0"/>
    </c:legend>
    <c:plotVisOnly val="1"/>
    <c:dispBlanksAs val="zero"/>
    <c:showDLblsOverMax val="0"/>
  </c:chart>
  <c:spPr>
    <a:ln>
      <a:noFill/>
    </a:ln>
  </c:spPr>
  <c:txPr>
    <a:bodyPr/>
    <a:lstStyle/>
    <a:p>
      <a:pPr>
        <a:defRPr sz="800">
          <a:latin typeface="Segoe UI Light" panose="020B0502040204020203" pitchFamily="34" charset="0"/>
          <a:cs typeface="Segoe UI Light" panose="020B0502040204020203" pitchFamily="34" charset="0"/>
        </a:defRPr>
      </a:pPr>
      <a:endParaRPr lang="et-E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993091537142551E-2"/>
          <c:y val="3.6734693877551045E-2"/>
          <c:w val="0.84455958549220556"/>
          <c:h val="0.62081058886044149"/>
        </c:manualLayout>
      </c:layout>
      <c:barChart>
        <c:barDir val="col"/>
        <c:grouping val="stacked"/>
        <c:varyColors val="0"/>
        <c:ser>
          <c:idx val="0"/>
          <c:order val="0"/>
          <c:tx>
            <c:strRef>
              <c:f>Joonised!$L$738</c:f>
              <c:strCache>
                <c:ptCount val="1"/>
                <c:pt idx="0">
                  <c:v>14% dividendid</c:v>
                </c:pt>
              </c:strCache>
            </c:strRef>
          </c:tx>
          <c:invertIfNegative val="0"/>
          <c:cat>
            <c:strRef>
              <c:f>Joonised!$K$739:$K$746</c:f>
              <c:strCache>
                <c:ptCount val="8"/>
                <c:pt idx="0">
                  <c:v>`19</c:v>
                </c:pt>
                <c:pt idx="1">
                  <c:v>`20</c:v>
                </c:pt>
                <c:pt idx="2">
                  <c:v>`21</c:v>
                </c:pt>
                <c:pt idx="3">
                  <c:v>`22</c:v>
                </c:pt>
                <c:pt idx="4">
                  <c:v>`23</c:v>
                </c:pt>
                <c:pt idx="5">
                  <c:v>`24</c:v>
                </c:pt>
                <c:pt idx="6">
                  <c:v>`25</c:v>
                </c:pt>
                <c:pt idx="7">
                  <c:v>`26</c:v>
                </c:pt>
              </c:strCache>
            </c:strRef>
          </c:cat>
          <c:val>
            <c:numRef>
              <c:f>Joonised!$L$739:$L$746</c:f>
              <c:numCache>
                <c:formatCode>0</c:formatCode>
                <c:ptCount val="8"/>
                <c:pt idx="0">
                  <c:v>356.37362704761932</c:v>
                </c:pt>
                <c:pt idx="1">
                  <c:v>624.84527457142894</c:v>
                </c:pt>
                <c:pt idx="2">
                  <c:v>876.05537685714262</c:v>
                </c:pt>
                <c:pt idx="3">
                  <c:v>919.58882358860558</c:v>
                </c:pt>
                <c:pt idx="4">
                  <c:v>967.73015253264566</c:v>
                </c:pt>
                <c:pt idx="5">
                  <c:v>1009.8841385790937</c:v>
                </c:pt>
                <c:pt idx="6">
                  <c:v>1059.0195025379232</c:v>
                </c:pt>
                <c:pt idx="7">
                  <c:v>1110.74719894234</c:v>
                </c:pt>
              </c:numCache>
            </c:numRef>
          </c:val>
          <c:extLst>
            <c:ext xmlns:c16="http://schemas.microsoft.com/office/drawing/2014/chart" uri="{C3380CC4-5D6E-409C-BE32-E72D297353CC}">
              <c16:uniqueId val="{00000000-34BD-460C-AF07-A74595442B6E}"/>
            </c:ext>
          </c:extLst>
        </c:ser>
        <c:ser>
          <c:idx val="1"/>
          <c:order val="1"/>
          <c:tx>
            <c:strRef>
              <c:f>Joonised!$M$738</c:f>
              <c:strCache>
                <c:ptCount val="1"/>
                <c:pt idx="0">
                  <c:v>20% dividendid</c:v>
                </c:pt>
              </c:strCache>
            </c:strRef>
          </c:tx>
          <c:spPr>
            <a:solidFill>
              <a:srgbClr val="FFC000"/>
            </a:solidFill>
            <a:ln w="20557">
              <a:noFill/>
            </a:ln>
          </c:spPr>
          <c:invertIfNegative val="0"/>
          <c:cat>
            <c:strRef>
              <c:f>Joonised!$K$739:$K$746</c:f>
              <c:strCache>
                <c:ptCount val="8"/>
                <c:pt idx="0">
                  <c:v>`19</c:v>
                </c:pt>
                <c:pt idx="1">
                  <c:v>`20</c:v>
                </c:pt>
                <c:pt idx="2">
                  <c:v>`21</c:v>
                </c:pt>
                <c:pt idx="3">
                  <c:v>`22</c:v>
                </c:pt>
                <c:pt idx="4">
                  <c:v>`23</c:v>
                </c:pt>
                <c:pt idx="5">
                  <c:v>`24</c:v>
                </c:pt>
                <c:pt idx="6">
                  <c:v>`25</c:v>
                </c:pt>
                <c:pt idx="7">
                  <c:v>`26</c:v>
                </c:pt>
              </c:strCache>
            </c:strRef>
          </c:cat>
          <c:val>
            <c:numRef>
              <c:f>Joonised!$M$739:$M$746</c:f>
              <c:numCache>
                <c:formatCode>0</c:formatCode>
                <c:ptCount val="8"/>
                <c:pt idx="0">
                  <c:v>1135.9656165066665</c:v>
                </c:pt>
                <c:pt idx="1">
                  <c:v>813.33068000000003</c:v>
                </c:pt>
                <c:pt idx="2">
                  <c:v>807.35614400000009</c:v>
                </c:pt>
                <c:pt idx="3">
                  <c:v>847.47574901199539</c:v>
                </c:pt>
                <c:pt idx="4">
                  <c:v>891.84189152998579</c:v>
                </c:pt>
                <c:pt idx="5">
                  <c:v>930.69021154234031</c:v>
                </c:pt>
                <c:pt idx="6">
                  <c:v>975.97243801774039</c:v>
                </c:pt>
                <c:pt idx="7">
                  <c:v>1023.6437092756107</c:v>
                </c:pt>
              </c:numCache>
            </c:numRef>
          </c:val>
          <c:extLst>
            <c:ext xmlns:c16="http://schemas.microsoft.com/office/drawing/2014/chart" uri="{C3380CC4-5D6E-409C-BE32-E72D297353CC}">
              <c16:uniqueId val="{00000001-34BD-460C-AF07-A74595442B6E}"/>
            </c:ext>
          </c:extLst>
        </c:ser>
        <c:dLbls>
          <c:showLegendKey val="0"/>
          <c:showVal val="0"/>
          <c:showCatName val="0"/>
          <c:showSerName val="0"/>
          <c:showPercent val="0"/>
          <c:showBubbleSize val="0"/>
        </c:dLbls>
        <c:gapWidth val="25"/>
        <c:overlap val="100"/>
        <c:axId val="429885744"/>
        <c:axId val="429886136"/>
      </c:barChart>
      <c:lineChart>
        <c:grouping val="standard"/>
        <c:varyColors val="0"/>
        <c:ser>
          <c:idx val="2"/>
          <c:order val="2"/>
          <c:tx>
            <c:strRef>
              <c:f>Joonised!$O$738</c:f>
              <c:strCache>
                <c:ptCount val="1"/>
                <c:pt idx="0">
                  <c:v>Kasv v.e.a</c:v>
                </c:pt>
              </c:strCache>
            </c:strRef>
          </c:tx>
          <c:spPr>
            <a:ln>
              <a:solidFill>
                <a:srgbClr val="C00000"/>
              </a:solidFill>
            </a:ln>
          </c:spPr>
          <c:marker>
            <c:symbol val="none"/>
          </c:marker>
          <c:val>
            <c:numRef>
              <c:f>Joonised!$O$739:$O$746</c:f>
              <c:numCache>
                <c:formatCode>0.0%</c:formatCode>
                <c:ptCount val="8"/>
                <c:pt idx="1">
                  <c:v>-3.6294220108999298E-2</c:v>
                </c:pt>
                <c:pt idx="2">
                  <c:v>0.17051847203132597</c:v>
                </c:pt>
                <c:pt idx="3">
                  <c:v>4.9692574101467768E-2</c:v>
                </c:pt>
                <c:pt idx="4">
                  <c:v>5.2350928707651345E-2</c:v>
                </c:pt>
                <c:pt idx="5">
                  <c:v>4.3559649284593327E-2</c:v>
                </c:pt>
                <c:pt idx="6">
                  <c:v>4.8654456567624571E-2</c:v>
                </c:pt>
                <c:pt idx="7">
                  <c:v>4.8844894999999777E-2</c:v>
                </c:pt>
              </c:numCache>
            </c:numRef>
          </c:val>
          <c:smooth val="1"/>
          <c:extLst>
            <c:ext xmlns:c16="http://schemas.microsoft.com/office/drawing/2014/chart" uri="{C3380CC4-5D6E-409C-BE32-E72D297353CC}">
              <c16:uniqueId val="{00000002-34BD-460C-AF07-A74595442B6E}"/>
            </c:ext>
          </c:extLst>
        </c:ser>
        <c:dLbls>
          <c:showLegendKey val="0"/>
          <c:showVal val="0"/>
          <c:showCatName val="0"/>
          <c:showSerName val="0"/>
          <c:showPercent val="0"/>
          <c:showBubbleSize val="0"/>
        </c:dLbls>
        <c:marker val="1"/>
        <c:smooth val="0"/>
        <c:axId val="1193461439"/>
        <c:axId val="1270091727"/>
      </c:lineChart>
      <c:catAx>
        <c:axId val="429885744"/>
        <c:scaling>
          <c:orientation val="minMax"/>
        </c:scaling>
        <c:delete val="0"/>
        <c:axPos val="b"/>
        <c:numFmt formatCode="General" sourceLinked="1"/>
        <c:majorTickMark val="out"/>
        <c:minorTickMark val="none"/>
        <c:tickLblPos val="nextTo"/>
        <c:spPr>
          <a:ln w="2937">
            <a:solidFill>
              <a:srgbClr val="000000"/>
            </a:solidFill>
            <a:prstDash val="solid"/>
          </a:ln>
        </c:spPr>
        <c:txPr>
          <a:bodyPr rot="0" vert="horz"/>
          <a:lstStyle/>
          <a:p>
            <a:pPr>
              <a:defRPr sz="800">
                <a:solidFill>
                  <a:sysClr val="windowText" lastClr="000000"/>
                </a:solidFill>
              </a:defRPr>
            </a:pPr>
            <a:endParaRPr lang="et-EE"/>
          </a:p>
        </c:txPr>
        <c:crossAx val="429886136"/>
        <c:crosses val="autoZero"/>
        <c:auto val="1"/>
        <c:lblAlgn val="ctr"/>
        <c:lblOffset val="100"/>
        <c:noMultiLvlLbl val="0"/>
      </c:catAx>
      <c:valAx>
        <c:axId val="429886136"/>
        <c:scaling>
          <c:orientation val="minMax"/>
          <c:max val="2400"/>
          <c:min val="0"/>
        </c:scaling>
        <c:delete val="0"/>
        <c:axPos val="l"/>
        <c:minorGridlines>
          <c:spPr>
            <a:ln w="2937">
              <a:solidFill>
                <a:srgbClr val="000000">
                  <a:alpha val="50000"/>
                </a:srgbClr>
              </a:solidFill>
              <a:prstDash val="dash"/>
            </a:ln>
          </c:spPr>
        </c:minorGridlines>
        <c:numFmt formatCode="#,##0" sourceLinked="0"/>
        <c:majorTickMark val="in"/>
        <c:minorTickMark val="none"/>
        <c:tickLblPos val="nextTo"/>
        <c:spPr>
          <a:ln w="2937">
            <a:solidFill>
              <a:srgbClr val="000000"/>
            </a:solidFill>
            <a:prstDash val="solid"/>
          </a:ln>
        </c:spPr>
        <c:txPr>
          <a:bodyPr rot="0" vert="horz"/>
          <a:lstStyle/>
          <a:p>
            <a:pPr>
              <a:defRPr sz="800">
                <a:solidFill>
                  <a:sysClr val="windowText" lastClr="000000"/>
                </a:solidFill>
              </a:defRPr>
            </a:pPr>
            <a:endParaRPr lang="et-EE"/>
          </a:p>
        </c:txPr>
        <c:crossAx val="429885744"/>
        <c:crosses val="autoZero"/>
        <c:crossBetween val="between"/>
        <c:majorUnit val="400"/>
        <c:minorUnit val="200"/>
      </c:valAx>
      <c:valAx>
        <c:axId val="1270091727"/>
        <c:scaling>
          <c:orientation val="minMax"/>
        </c:scaling>
        <c:delete val="0"/>
        <c:axPos val="r"/>
        <c:numFmt formatCode="0%" sourceLinked="0"/>
        <c:majorTickMark val="in"/>
        <c:minorTickMark val="none"/>
        <c:tickLblPos val="nextTo"/>
        <c:spPr>
          <a:ln w="3175">
            <a:solidFill>
              <a:sysClr val="windowText" lastClr="000000"/>
            </a:solidFill>
          </a:ln>
        </c:spPr>
        <c:crossAx val="1193461439"/>
        <c:crosses val="max"/>
        <c:crossBetween val="between"/>
      </c:valAx>
      <c:catAx>
        <c:axId val="1193461439"/>
        <c:scaling>
          <c:orientation val="minMax"/>
        </c:scaling>
        <c:delete val="1"/>
        <c:axPos val="b"/>
        <c:majorTickMark val="out"/>
        <c:minorTickMark val="none"/>
        <c:tickLblPos val="nextTo"/>
        <c:crossAx val="1270091727"/>
        <c:crosses val="autoZero"/>
        <c:auto val="1"/>
        <c:lblAlgn val="ctr"/>
        <c:lblOffset val="100"/>
        <c:noMultiLvlLbl val="0"/>
      </c:catAx>
      <c:spPr>
        <a:noFill/>
        <a:ln w="2937">
          <a:noFill/>
          <a:prstDash val="solid"/>
        </a:ln>
      </c:spPr>
    </c:plotArea>
    <c:legend>
      <c:legendPos val="b"/>
      <c:layout>
        <c:manualLayout>
          <c:xMode val="edge"/>
          <c:yMode val="edge"/>
          <c:x val="9.0893126899723505E-3"/>
          <c:y val="0.79952666173138309"/>
          <c:w val="0.89999986357137396"/>
          <c:h val="0.12491317172966672"/>
        </c:manualLayout>
      </c:layout>
      <c:overlay val="0"/>
      <c:spPr>
        <a:noFill/>
        <a:ln w="2937">
          <a:noFill/>
          <a:prstDash val="solid"/>
        </a:ln>
      </c:spPr>
      <c:txPr>
        <a:bodyPr/>
        <a:lstStyle/>
        <a:p>
          <a:pPr>
            <a:defRPr sz="800"/>
          </a:pPr>
          <a:endParaRPr lang="et-EE"/>
        </a:p>
      </c:txPr>
    </c:legend>
    <c:plotVisOnly val="1"/>
    <c:dispBlanksAs val="gap"/>
    <c:showDLblsOverMax val="0"/>
  </c:chart>
  <c:spPr>
    <a:noFill/>
    <a:ln>
      <a:noFill/>
    </a:ln>
  </c:spPr>
  <c:txPr>
    <a:bodyPr/>
    <a:lstStyle/>
    <a:p>
      <a:pPr>
        <a:defRPr sz="900" b="0" i="0" u="none" strike="noStrike" baseline="0">
          <a:solidFill>
            <a:srgbClr val="000000"/>
          </a:solidFill>
          <a:latin typeface="Segoe UI Light" panose="020B0502040204020203" pitchFamily="34" charset="0"/>
          <a:ea typeface="Garamond"/>
          <a:cs typeface="Garamond"/>
        </a:defRPr>
      </a:pPr>
      <a:endParaRPr lang="et-E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923076923076927E-2"/>
          <c:y val="6.25E-2"/>
          <c:w val="0.84423284417860001"/>
          <c:h val="0.59827044508840022"/>
        </c:manualLayout>
      </c:layout>
      <c:lineChart>
        <c:grouping val="standard"/>
        <c:varyColors val="0"/>
        <c:ser>
          <c:idx val="0"/>
          <c:order val="0"/>
          <c:tx>
            <c:strRef>
              <c:f>Joonised!$L$750</c:f>
              <c:strCache>
                <c:ptCount val="1"/>
                <c:pt idx="0">
                  <c:v>Kevadprognoos</c:v>
                </c:pt>
              </c:strCache>
            </c:strRef>
          </c:tx>
          <c:spPr>
            <a:ln w="31750">
              <a:solidFill>
                <a:schemeClr val="accent1"/>
              </a:solidFill>
            </a:ln>
          </c:spPr>
          <c:marker>
            <c:symbol val="circle"/>
            <c:size val="3"/>
            <c:spPr>
              <a:solidFill>
                <a:schemeClr val="bg1"/>
              </a:solidFill>
              <a:ln>
                <a:solidFill>
                  <a:schemeClr val="accent1"/>
                </a:solidFill>
              </a:ln>
            </c:spPr>
          </c:marker>
          <c:cat>
            <c:strRef>
              <c:f>Joonised!$K$751:$K$769</c:f>
              <c:strCache>
                <c:ptCount val="19"/>
                <c:pt idx="0">
                  <c:v>`08</c:v>
                </c:pt>
                <c:pt idx="1">
                  <c:v>`09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pt idx="17">
                  <c:v>`25</c:v>
                </c:pt>
                <c:pt idx="18">
                  <c:v>`26</c:v>
                </c:pt>
              </c:strCache>
            </c:strRef>
          </c:cat>
          <c:val>
            <c:numRef>
              <c:f>Joonised!$L$751:$L$769</c:f>
              <c:numCache>
                <c:formatCode>0.0</c:formatCode>
                <c:ptCount val="19"/>
                <c:pt idx="0">
                  <c:v>31.200508537943495</c:v>
                </c:pt>
                <c:pt idx="1">
                  <c:v>34.75552883099175</c:v>
                </c:pt>
                <c:pt idx="2">
                  <c:v>32.924119731722193</c:v>
                </c:pt>
                <c:pt idx="3">
                  <c:v>31.209557652508281</c:v>
                </c:pt>
                <c:pt idx="4">
                  <c:v>31.464199874696536</c:v>
                </c:pt>
                <c:pt idx="5">
                  <c:v>31.461863834636226</c:v>
                </c:pt>
                <c:pt idx="6">
                  <c:v>31.925933202661312</c:v>
                </c:pt>
                <c:pt idx="7">
                  <c:v>33.321070412431595</c:v>
                </c:pt>
                <c:pt idx="8">
                  <c:v>33.517581007821441</c:v>
                </c:pt>
                <c:pt idx="9">
                  <c:v>32.811241272824923</c:v>
                </c:pt>
                <c:pt idx="10">
                  <c:v>33.046952466534464</c:v>
                </c:pt>
                <c:pt idx="11">
                  <c:v>33.530311116239488</c:v>
                </c:pt>
                <c:pt idx="12">
                  <c:v>34.037436742116526</c:v>
                </c:pt>
                <c:pt idx="13">
                  <c:v>34.383039791258966</c:v>
                </c:pt>
                <c:pt idx="14">
                  <c:v>33.842730857220801</c:v>
                </c:pt>
                <c:pt idx="15">
                  <c:v>33.386437354806837</c:v>
                </c:pt>
                <c:pt idx="16">
                  <c:v>33.504812015343035</c:v>
                </c:pt>
                <c:pt idx="17">
                  <c:v>33.181251753919085</c:v>
                </c:pt>
                <c:pt idx="18">
                  <c:v>32.812204569822896</c:v>
                </c:pt>
              </c:numCache>
            </c:numRef>
          </c:val>
          <c:smooth val="0"/>
          <c:extLst>
            <c:ext xmlns:c16="http://schemas.microsoft.com/office/drawing/2014/chart" uri="{C3380CC4-5D6E-409C-BE32-E72D297353CC}">
              <c16:uniqueId val="{00000000-66CD-47AF-869C-1597387243A5}"/>
            </c:ext>
          </c:extLst>
        </c:ser>
        <c:ser>
          <c:idx val="1"/>
          <c:order val="1"/>
          <c:tx>
            <c:strRef>
              <c:f>Joonised!$M$750</c:f>
              <c:strCache>
                <c:ptCount val="1"/>
                <c:pt idx="0">
                  <c:v>Ilma IIs lahkujate tulumaksuta</c:v>
                </c:pt>
              </c:strCache>
            </c:strRef>
          </c:tx>
          <c:spPr>
            <a:ln w="31750">
              <a:solidFill>
                <a:srgbClr val="FFC000"/>
              </a:solidFill>
            </a:ln>
          </c:spPr>
          <c:marker>
            <c:symbol val="circle"/>
            <c:size val="3"/>
            <c:spPr>
              <a:solidFill>
                <a:schemeClr val="bg1"/>
              </a:solidFill>
              <a:ln>
                <a:solidFill>
                  <a:srgbClr val="FFC000"/>
                </a:solidFill>
              </a:ln>
            </c:spPr>
          </c:marker>
          <c:cat>
            <c:strRef>
              <c:f>Joonised!$K$751:$K$769</c:f>
              <c:strCache>
                <c:ptCount val="19"/>
                <c:pt idx="0">
                  <c:v>`08</c:v>
                </c:pt>
                <c:pt idx="1">
                  <c:v>`09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pt idx="17">
                  <c:v>`25</c:v>
                </c:pt>
                <c:pt idx="18">
                  <c:v>`26</c:v>
                </c:pt>
              </c:strCache>
            </c:strRef>
          </c:cat>
          <c:val>
            <c:numRef>
              <c:f>Joonised!$M$751:$M$769</c:f>
              <c:numCache>
                <c:formatCode>General</c:formatCode>
                <c:ptCount val="19"/>
                <c:pt idx="12" formatCode="0.0">
                  <c:v>34.037362211473244</c:v>
                </c:pt>
                <c:pt idx="13" formatCode="0.0">
                  <c:v>33.279917858734507</c:v>
                </c:pt>
                <c:pt idx="14" formatCode="0.0">
                  <c:v>33.40469330487911</c:v>
                </c:pt>
                <c:pt idx="15" formatCode="0.0">
                  <c:v>33.243089094491594</c:v>
                </c:pt>
                <c:pt idx="16" formatCode="0.0">
                  <c:v>33.414110195617354</c:v>
                </c:pt>
                <c:pt idx="17" formatCode="0.0">
                  <c:v>33.090063858474608</c:v>
                </c:pt>
                <c:pt idx="18" formatCode="0.0">
                  <c:v>32.720781608701735</c:v>
                </c:pt>
              </c:numCache>
            </c:numRef>
          </c:val>
          <c:smooth val="0"/>
          <c:extLst>
            <c:ext xmlns:c16="http://schemas.microsoft.com/office/drawing/2014/chart" uri="{C3380CC4-5D6E-409C-BE32-E72D297353CC}">
              <c16:uniqueId val="{00000001-66CD-47AF-869C-1597387243A5}"/>
            </c:ext>
          </c:extLst>
        </c:ser>
        <c:dLbls>
          <c:showLegendKey val="0"/>
          <c:showVal val="0"/>
          <c:showCatName val="0"/>
          <c:showSerName val="0"/>
          <c:showPercent val="0"/>
          <c:showBubbleSize val="0"/>
        </c:dLbls>
        <c:marker val="1"/>
        <c:smooth val="0"/>
        <c:axId val="427667472"/>
        <c:axId val="427667864"/>
      </c:lineChart>
      <c:catAx>
        <c:axId val="427667472"/>
        <c:scaling>
          <c:orientation val="minMax"/>
        </c:scaling>
        <c:delete val="0"/>
        <c:axPos val="b"/>
        <c:numFmt formatCode="General" sourceLinked="1"/>
        <c:majorTickMark val="out"/>
        <c:minorTickMark val="none"/>
        <c:tickLblPos val="nextTo"/>
        <c:spPr>
          <a:ln w="2570">
            <a:solidFill>
              <a:srgbClr val="000000"/>
            </a:solidFill>
            <a:prstDash val="solid"/>
          </a:ln>
        </c:spPr>
        <c:txPr>
          <a:bodyPr rot="0" vert="horz"/>
          <a:lstStyle/>
          <a:p>
            <a:pPr>
              <a:defRPr/>
            </a:pPr>
            <a:endParaRPr lang="et-EE"/>
          </a:p>
        </c:txPr>
        <c:crossAx val="427667864"/>
        <c:crosses val="autoZero"/>
        <c:auto val="1"/>
        <c:lblAlgn val="ctr"/>
        <c:lblOffset val="100"/>
        <c:tickLblSkip val="2"/>
        <c:tickMarkSkip val="1"/>
        <c:noMultiLvlLbl val="0"/>
      </c:catAx>
      <c:valAx>
        <c:axId val="427667864"/>
        <c:scaling>
          <c:orientation val="minMax"/>
          <c:max val="36"/>
          <c:min val="30"/>
        </c:scaling>
        <c:delete val="0"/>
        <c:axPos val="l"/>
        <c:majorGridlines>
          <c:spPr>
            <a:ln w="2570">
              <a:solidFill>
                <a:schemeClr val="tx1">
                  <a:alpha val="50000"/>
                </a:schemeClr>
              </a:solidFill>
              <a:prstDash val="dash"/>
            </a:ln>
          </c:spPr>
        </c:majorGridlines>
        <c:numFmt formatCode="0" sourceLinked="0"/>
        <c:majorTickMark val="in"/>
        <c:minorTickMark val="none"/>
        <c:tickLblPos val="nextTo"/>
        <c:spPr>
          <a:ln w="2570">
            <a:solidFill>
              <a:srgbClr val="000000"/>
            </a:solidFill>
            <a:prstDash val="sysDash"/>
          </a:ln>
        </c:spPr>
        <c:txPr>
          <a:bodyPr rot="0" vert="horz"/>
          <a:lstStyle/>
          <a:p>
            <a:pPr>
              <a:defRPr/>
            </a:pPr>
            <a:endParaRPr lang="et-EE"/>
          </a:p>
        </c:txPr>
        <c:crossAx val="427667472"/>
        <c:crosses val="autoZero"/>
        <c:crossBetween val="between"/>
        <c:majorUnit val="2"/>
        <c:minorUnit val="1"/>
      </c:valAx>
      <c:spPr>
        <a:ln>
          <a:noFill/>
        </a:ln>
      </c:spPr>
    </c:plotArea>
    <c:legend>
      <c:legendPos val="b"/>
      <c:layout>
        <c:manualLayout>
          <c:xMode val="edge"/>
          <c:yMode val="edge"/>
          <c:x val="3.6105525795630325E-2"/>
          <c:y val="0.79329314482568336"/>
          <c:w val="0.95123567643713147"/>
          <c:h val="0.20028875476558158"/>
        </c:manualLayout>
      </c:layout>
      <c:overlay val="0"/>
    </c:legend>
    <c:plotVisOnly val="1"/>
    <c:dispBlanksAs val="gap"/>
    <c:showDLblsOverMax val="0"/>
  </c:chart>
  <c:spPr>
    <a:noFill/>
    <a:ln>
      <a:noFill/>
    </a:ln>
  </c:spPr>
  <c:txPr>
    <a:bodyPr/>
    <a:lstStyle/>
    <a:p>
      <a:pPr>
        <a:defRPr sz="833" b="0" i="0" u="none" strike="noStrike" baseline="0">
          <a:solidFill>
            <a:srgbClr val="000000"/>
          </a:solidFill>
          <a:latin typeface="Segoe UI Light" panose="020B0502040204020203" pitchFamily="34" charset="0"/>
          <a:ea typeface="Garamond"/>
          <a:cs typeface="Segoe UI Light" panose="020B0502040204020203" pitchFamily="34" charset="0"/>
        </a:defRPr>
      </a:pPr>
      <a:endParaRPr lang="et-E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32593041254459"/>
          <c:y val="8.001815989217563E-2"/>
          <c:w val="0.85537855844942745"/>
          <c:h val="0.62874521817203866"/>
        </c:manualLayout>
      </c:layout>
      <c:lineChart>
        <c:grouping val="standard"/>
        <c:varyColors val="0"/>
        <c:ser>
          <c:idx val="0"/>
          <c:order val="0"/>
          <c:tx>
            <c:strRef>
              <c:f>Joonised!$L$612</c:f>
              <c:strCache>
                <c:ptCount val="1"/>
                <c:pt idx="0">
                  <c:v>Eesti</c:v>
                </c:pt>
              </c:strCache>
            </c:strRef>
          </c:tx>
          <c:marker>
            <c:symbol val="none"/>
          </c:marker>
          <c:cat>
            <c:strRef>
              <c:f>Joonised!$M$611:$AE$611</c:f>
              <c:strCache>
                <c:ptCount val="19"/>
                <c:pt idx="0">
                  <c:v>`08</c:v>
                </c:pt>
                <c:pt idx="1">
                  <c:v>`09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pt idx="17">
                  <c:v>`25</c:v>
                </c:pt>
                <c:pt idx="18">
                  <c:v>`26</c:v>
                </c:pt>
              </c:strCache>
            </c:strRef>
          </c:cat>
          <c:val>
            <c:numRef>
              <c:f>Joonised!$M$612:$AE$612</c:f>
              <c:numCache>
                <c:formatCode>0.0%</c:formatCode>
                <c:ptCount val="19"/>
                <c:pt idx="0">
                  <c:v>0.33141376814413814</c:v>
                </c:pt>
                <c:pt idx="1">
                  <c:v>0.33774476094361977</c:v>
                </c:pt>
                <c:pt idx="2">
                  <c:v>0.35388429100114688</c:v>
                </c:pt>
                <c:pt idx="3">
                  <c:v>0.34360192220339902</c:v>
                </c:pt>
                <c:pt idx="4">
                  <c:v>0.34002007191253647</c:v>
                </c:pt>
                <c:pt idx="5">
                  <c:v>0.33812410492994144</c:v>
                </c:pt>
                <c:pt idx="6">
                  <c:v>0.33558422631082002</c:v>
                </c:pt>
                <c:pt idx="7">
                  <c:v>0.32929268725616845</c:v>
                </c:pt>
                <c:pt idx="8">
                  <c:v>0.32856117177307226</c:v>
                </c:pt>
                <c:pt idx="9">
                  <c:v>0.33091648305949051</c:v>
                </c:pt>
                <c:pt idx="10">
                  <c:v>0.32454603062429482</c:v>
                </c:pt>
                <c:pt idx="11">
                  <c:v>0.32231132651872835</c:v>
                </c:pt>
                <c:pt idx="12">
                  <c:v>0.32046957850161367</c:v>
                </c:pt>
                <c:pt idx="13">
                  <c:v>0.33208546720091281</c:v>
                </c:pt>
                <c:pt idx="14">
                  <c:v>0.34314384033713247</c:v>
                </c:pt>
                <c:pt idx="15">
                  <c:v>0.33964343983809347</c:v>
                </c:pt>
                <c:pt idx="16">
                  <c:v>0.33976660027251326</c:v>
                </c:pt>
                <c:pt idx="17">
                  <c:v>0.34067011781483775</c:v>
                </c:pt>
                <c:pt idx="18">
                  <c:v>0.34170073042076116</c:v>
                </c:pt>
              </c:numCache>
            </c:numRef>
          </c:val>
          <c:smooth val="0"/>
          <c:extLst>
            <c:ext xmlns:c16="http://schemas.microsoft.com/office/drawing/2014/chart" uri="{C3380CC4-5D6E-409C-BE32-E72D297353CC}">
              <c16:uniqueId val="{00000000-D425-40D7-AF81-345C9281F10F}"/>
            </c:ext>
          </c:extLst>
        </c:ser>
        <c:ser>
          <c:idx val="1"/>
          <c:order val="1"/>
          <c:tx>
            <c:strRef>
              <c:f>Joonised!$L$613</c:f>
              <c:strCache>
                <c:ptCount val="1"/>
                <c:pt idx="0">
                  <c:v>Läti</c:v>
                </c:pt>
              </c:strCache>
            </c:strRef>
          </c:tx>
          <c:spPr>
            <a:ln>
              <a:solidFill>
                <a:srgbClr val="FFC000"/>
              </a:solidFill>
              <a:prstDash val="solid"/>
            </a:ln>
          </c:spPr>
          <c:marker>
            <c:symbol val="none"/>
          </c:marker>
          <c:cat>
            <c:strRef>
              <c:f>Joonised!$M$611:$AE$611</c:f>
              <c:strCache>
                <c:ptCount val="19"/>
                <c:pt idx="0">
                  <c:v>`08</c:v>
                </c:pt>
                <c:pt idx="1">
                  <c:v>`09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pt idx="17">
                  <c:v>`25</c:v>
                </c:pt>
                <c:pt idx="18">
                  <c:v>`26</c:v>
                </c:pt>
              </c:strCache>
            </c:strRef>
          </c:cat>
          <c:val>
            <c:numRef>
              <c:f>Joonised!$M$613:$AE$613</c:f>
              <c:numCache>
                <c:formatCode>0.0%</c:formatCode>
                <c:ptCount val="19"/>
                <c:pt idx="0">
                  <c:v>0.28368192000000003</c:v>
                </c:pt>
                <c:pt idx="1">
                  <c:v>0.30388796000000001</c:v>
                </c:pt>
                <c:pt idx="2">
                  <c:v>0.32938566999999996</c:v>
                </c:pt>
                <c:pt idx="3">
                  <c:v>0.34144198000000003</c:v>
                </c:pt>
                <c:pt idx="4">
                  <c:v>0.34157820999999999</c:v>
                </c:pt>
                <c:pt idx="5">
                  <c:v>0.32487578</c:v>
                </c:pt>
                <c:pt idx="6">
                  <c:v>0.31461114000000001</c:v>
                </c:pt>
                <c:pt idx="7">
                  <c:v>0.29999824000000003</c:v>
                </c:pt>
                <c:pt idx="8">
                  <c:v>0.29431825</c:v>
                </c:pt>
                <c:pt idx="9">
                  <c:v>0.29931460999999998</c:v>
                </c:pt>
                <c:pt idx="10">
                  <c:v>0.29534249000000001</c:v>
                </c:pt>
                <c:pt idx="11">
                  <c:v>0.299348</c:v>
                </c:pt>
                <c:pt idx="12">
                  <c:v>0.29618708999999999</c:v>
                </c:pt>
              </c:numCache>
            </c:numRef>
          </c:val>
          <c:smooth val="0"/>
          <c:extLst>
            <c:ext xmlns:c16="http://schemas.microsoft.com/office/drawing/2014/chart" uri="{C3380CC4-5D6E-409C-BE32-E72D297353CC}">
              <c16:uniqueId val="{00000001-D425-40D7-AF81-345C9281F10F}"/>
            </c:ext>
          </c:extLst>
        </c:ser>
        <c:ser>
          <c:idx val="2"/>
          <c:order val="2"/>
          <c:tx>
            <c:strRef>
              <c:f>Joonised!$L$614</c:f>
              <c:strCache>
                <c:ptCount val="1"/>
                <c:pt idx="0">
                  <c:v>Leedu</c:v>
                </c:pt>
              </c:strCache>
            </c:strRef>
          </c:tx>
          <c:spPr>
            <a:ln>
              <a:solidFill>
                <a:srgbClr val="92D050"/>
              </a:solidFill>
            </a:ln>
          </c:spPr>
          <c:marker>
            <c:symbol val="none"/>
          </c:marker>
          <c:cat>
            <c:strRef>
              <c:f>Joonised!$M$611:$AE$611</c:f>
              <c:strCache>
                <c:ptCount val="19"/>
                <c:pt idx="0">
                  <c:v>`08</c:v>
                </c:pt>
                <c:pt idx="1">
                  <c:v>`09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pt idx="17">
                  <c:v>`25</c:v>
                </c:pt>
                <c:pt idx="18">
                  <c:v>`26</c:v>
                </c:pt>
              </c:strCache>
            </c:strRef>
          </c:cat>
          <c:val>
            <c:numRef>
              <c:f>Joonised!$M$614:$AE$614</c:f>
              <c:numCache>
                <c:formatCode>0.0%</c:formatCode>
                <c:ptCount val="19"/>
                <c:pt idx="0">
                  <c:v>0.32216735000000002</c:v>
                </c:pt>
                <c:pt idx="1">
                  <c:v>0.31041772000000001</c:v>
                </c:pt>
                <c:pt idx="2">
                  <c:v>0.30496529999999999</c:v>
                </c:pt>
                <c:pt idx="3">
                  <c:v>0.30698754</c:v>
                </c:pt>
                <c:pt idx="4">
                  <c:v>0.30807659999999998</c:v>
                </c:pt>
                <c:pt idx="5">
                  <c:v>0.31029174999999998</c:v>
                </c:pt>
                <c:pt idx="6">
                  <c:v>0.31240746999999996</c:v>
                </c:pt>
                <c:pt idx="7">
                  <c:v>0.31219330000000001</c:v>
                </c:pt>
                <c:pt idx="8">
                  <c:v>0.31164648</c:v>
                </c:pt>
                <c:pt idx="9">
                  <c:v>0.30755474999999999</c:v>
                </c:pt>
                <c:pt idx="10">
                  <c:v>0.31431555999999999</c:v>
                </c:pt>
                <c:pt idx="11">
                  <c:v>0.30226512</c:v>
                </c:pt>
                <c:pt idx="12">
                  <c:v>0.29461103</c:v>
                </c:pt>
              </c:numCache>
            </c:numRef>
          </c:val>
          <c:smooth val="0"/>
          <c:extLst>
            <c:ext xmlns:c16="http://schemas.microsoft.com/office/drawing/2014/chart" uri="{C3380CC4-5D6E-409C-BE32-E72D297353CC}">
              <c16:uniqueId val="{00000002-D425-40D7-AF81-345C9281F10F}"/>
            </c:ext>
          </c:extLst>
        </c:ser>
        <c:ser>
          <c:idx val="3"/>
          <c:order val="3"/>
          <c:tx>
            <c:strRef>
              <c:f>Joonised!$L$615</c:f>
              <c:strCache>
                <c:ptCount val="1"/>
                <c:pt idx="0">
                  <c:v>EL 27</c:v>
                </c:pt>
              </c:strCache>
            </c:strRef>
          </c:tx>
          <c:spPr>
            <a:ln>
              <a:solidFill>
                <a:srgbClr val="C00000"/>
              </a:solidFill>
            </a:ln>
          </c:spPr>
          <c:marker>
            <c:symbol val="none"/>
          </c:marker>
          <c:cat>
            <c:strRef>
              <c:f>Joonised!$M$611:$AE$611</c:f>
              <c:strCache>
                <c:ptCount val="19"/>
                <c:pt idx="0">
                  <c:v>`08</c:v>
                </c:pt>
                <c:pt idx="1">
                  <c:v>`09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pt idx="17">
                  <c:v>`25</c:v>
                </c:pt>
                <c:pt idx="18">
                  <c:v>`26</c:v>
                </c:pt>
              </c:strCache>
            </c:strRef>
          </c:cat>
          <c:val>
            <c:numRef>
              <c:f>Joonised!$M$615:$AE$615</c:f>
              <c:numCache>
                <c:formatCode>0.0%</c:formatCode>
                <c:ptCount val="19"/>
                <c:pt idx="0">
                  <c:v>0.37506098999999998</c:v>
                </c:pt>
                <c:pt idx="1">
                  <c:v>0.36970795000000001</c:v>
                </c:pt>
                <c:pt idx="2">
                  <c:v>0.36859586</c:v>
                </c:pt>
                <c:pt idx="3">
                  <c:v>0.37290092999999996</c:v>
                </c:pt>
                <c:pt idx="4">
                  <c:v>0.37832692000000001</c:v>
                </c:pt>
                <c:pt idx="5">
                  <c:v>0.3821928</c:v>
                </c:pt>
                <c:pt idx="6">
                  <c:v>0.38217818000000003</c:v>
                </c:pt>
                <c:pt idx="7">
                  <c:v>0.38169542000000001</c:v>
                </c:pt>
                <c:pt idx="8">
                  <c:v>0.38036799000000004</c:v>
                </c:pt>
                <c:pt idx="9">
                  <c:v>0.38171404000000003</c:v>
                </c:pt>
                <c:pt idx="10">
                  <c:v>0.38225299999999995</c:v>
                </c:pt>
                <c:pt idx="11">
                  <c:v>0.38122929999999999</c:v>
                </c:pt>
                <c:pt idx="12">
                  <c:v>0.38169086999999996</c:v>
                </c:pt>
              </c:numCache>
            </c:numRef>
          </c:val>
          <c:smooth val="0"/>
          <c:extLst>
            <c:ext xmlns:c16="http://schemas.microsoft.com/office/drawing/2014/chart" uri="{C3380CC4-5D6E-409C-BE32-E72D297353CC}">
              <c16:uniqueId val="{00000003-D425-40D7-AF81-345C9281F10F}"/>
            </c:ext>
          </c:extLst>
        </c:ser>
        <c:dLbls>
          <c:showLegendKey val="0"/>
          <c:showVal val="0"/>
          <c:showCatName val="0"/>
          <c:showSerName val="0"/>
          <c:showPercent val="0"/>
          <c:showBubbleSize val="0"/>
        </c:dLbls>
        <c:smooth val="0"/>
        <c:axId val="429888488"/>
        <c:axId val="429888096"/>
      </c:lineChart>
      <c:catAx>
        <c:axId val="429888488"/>
        <c:scaling>
          <c:orientation val="minMax"/>
        </c:scaling>
        <c:delete val="0"/>
        <c:axPos val="b"/>
        <c:numFmt formatCode="#,##0.00" sourceLinked="0"/>
        <c:majorTickMark val="out"/>
        <c:minorTickMark val="none"/>
        <c:tickLblPos val="nextTo"/>
        <c:spPr>
          <a:ln w="3175">
            <a:solidFill>
              <a:sysClr val="windowText" lastClr="000000"/>
            </a:solidFill>
          </a:ln>
        </c:spPr>
        <c:txPr>
          <a:bodyPr rot="0" vert="horz"/>
          <a:lstStyle/>
          <a:p>
            <a:pPr>
              <a:defRPr/>
            </a:pPr>
            <a:endParaRPr lang="et-EE"/>
          </a:p>
        </c:txPr>
        <c:crossAx val="429888096"/>
        <c:crosses val="autoZero"/>
        <c:auto val="1"/>
        <c:lblAlgn val="ctr"/>
        <c:lblOffset val="100"/>
        <c:tickLblSkip val="2"/>
        <c:noMultiLvlLbl val="0"/>
      </c:catAx>
      <c:valAx>
        <c:axId val="429888096"/>
        <c:scaling>
          <c:orientation val="minMax"/>
          <c:max val="0.4"/>
          <c:min val="0.28000000000000008"/>
        </c:scaling>
        <c:delete val="0"/>
        <c:axPos val="l"/>
        <c:majorGridlines>
          <c:spPr>
            <a:ln w="3175">
              <a:solidFill>
                <a:sysClr val="windowText" lastClr="000000"/>
              </a:solidFill>
              <a:prstDash val="dash"/>
            </a:ln>
          </c:spPr>
        </c:majorGridlines>
        <c:numFmt formatCode="0%" sourceLinked="0"/>
        <c:majorTickMark val="out"/>
        <c:minorTickMark val="none"/>
        <c:tickLblPos val="nextTo"/>
        <c:spPr>
          <a:ln w="3175">
            <a:solidFill>
              <a:sysClr val="windowText" lastClr="000000"/>
            </a:solidFill>
          </a:ln>
        </c:spPr>
        <c:crossAx val="429888488"/>
        <c:crosses val="autoZero"/>
        <c:crossBetween val="between"/>
        <c:majorUnit val="2.0000000000000011E-2"/>
      </c:valAx>
      <c:spPr>
        <a:ln w="3175">
          <a:noFill/>
        </a:ln>
      </c:spPr>
    </c:plotArea>
    <c:legend>
      <c:legendPos val="b"/>
      <c:layout>
        <c:manualLayout>
          <c:xMode val="edge"/>
          <c:yMode val="edge"/>
          <c:x val="2.5792651077751728E-2"/>
          <c:y val="0.8162124290931807"/>
          <c:w val="0.97420734892222816"/>
          <c:h val="0.18378757090681952"/>
        </c:manualLayout>
      </c:layout>
      <c:overlay val="0"/>
    </c:legend>
    <c:plotVisOnly val="1"/>
    <c:dispBlanksAs val="gap"/>
    <c:showDLblsOverMax val="0"/>
  </c:chart>
  <c:spPr>
    <a:ln>
      <a:noFill/>
    </a:ln>
  </c:spPr>
  <c:txPr>
    <a:bodyPr/>
    <a:lstStyle/>
    <a:p>
      <a:pPr>
        <a:defRPr sz="800">
          <a:latin typeface="Segoe UI Light" panose="020B0502040204020203" pitchFamily="34" charset="0"/>
          <a:cs typeface="Segoe UI Light" panose="020B0502040204020203" pitchFamily="34" charset="0"/>
        </a:defRPr>
      </a:pPr>
      <a:endParaRPr lang="et-E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192518410926782E-2"/>
          <c:y val="0.15084505874074641"/>
          <c:w val="0.85286276108690062"/>
          <c:h val="0.48631724999132819"/>
        </c:manualLayout>
      </c:layout>
      <c:barChart>
        <c:barDir val="col"/>
        <c:grouping val="clustered"/>
        <c:varyColors val="0"/>
        <c:ser>
          <c:idx val="0"/>
          <c:order val="0"/>
          <c:tx>
            <c:strRef>
              <c:f>Joonised!$J$865</c:f>
              <c:strCache>
                <c:ptCount val="1"/>
                <c:pt idx="0">
                  <c:v>Kogukulu % SKPst</c:v>
                </c:pt>
              </c:strCache>
            </c:strRef>
          </c:tx>
          <c:spPr>
            <a:ln w="31750">
              <a:noFill/>
              <a:prstDash val="solid"/>
            </a:ln>
          </c:spPr>
          <c:invertIfNegative val="0"/>
          <c:cat>
            <c:strRef>
              <c:f>Joonised!$I$866:$I$878</c:f>
              <c:strCache>
                <c:ptCount val="13"/>
                <c:pt idx="0">
                  <c:v>'14</c:v>
                </c:pt>
                <c:pt idx="1">
                  <c:v>'15</c:v>
                </c:pt>
                <c:pt idx="2">
                  <c:v>'16</c:v>
                </c:pt>
                <c:pt idx="3">
                  <c:v>'17</c:v>
                </c:pt>
                <c:pt idx="4">
                  <c:v>'18</c:v>
                </c:pt>
                <c:pt idx="5">
                  <c:v>'19</c:v>
                </c:pt>
                <c:pt idx="6">
                  <c:v>'20</c:v>
                </c:pt>
                <c:pt idx="7">
                  <c:v>'21</c:v>
                </c:pt>
                <c:pt idx="8">
                  <c:v>'22</c:v>
                </c:pt>
                <c:pt idx="9">
                  <c:v>'23</c:v>
                </c:pt>
                <c:pt idx="10">
                  <c:v>'24</c:v>
                </c:pt>
                <c:pt idx="11">
                  <c:v>'25</c:v>
                </c:pt>
                <c:pt idx="12">
                  <c:v>'26</c:v>
                </c:pt>
              </c:strCache>
            </c:strRef>
          </c:cat>
          <c:val>
            <c:numRef>
              <c:f>Joonised!$J$866:$J$878</c:f>
              <c:numCache>
                <c:formatCode>0.00%</c:formatCode>
                <c:ptCount val="13"/>
                <c:pt idx="0">
                  <c:v>0.37517858780264196</c:v>
                </c:pt>
                <c:pt idx="1">
                  <c:v>0.395248966376331</c:v>
                </c:pt>
                <c:pt idx="2">
                  <c:v>0.39397367102111003</c:v>
                </c:pt>
                <c:pt idx="3">
                  <c:v>0.39236204350161102</c:v>
                </c:pt>
                <c:pt idx="4">
                  <c:v>0.39447121343579605</c:v>
                </c:pt>
                <c:pt idx="5">
                  <c:v>0.39434019414114901</c:v>
                </c:pt>
                <c:pt idx="6">
                  <c:v>0.45885163184843397</c:v>
                </c:pt>
                <c:pt idx="7">
                  <c:v>0.42337247227658198</c:v>
                </c:pt>
                <c:pt idx="8">
                  <c:v>0.43278668270174203</c:v>
                </c:pt>
                <c:pt idx="9">
                  <c:v>0.43629703974788098</c:v>
                </c:pt>
                <c:pt idx="10">
                  <c:v>0.43062284110682097</c:v>
                </c:pt>
                <c:pt idx="11">
                  <c:v>0.416011709346639</c:v>
                </c:pt>
                <c:pt idx="12">
                  <c:v>0.40422479865449096</c:v>
                </c:pt>
              </c:numCache>
            </c:numRef>
          </c:val>
          <c:extLst>
            <c:ext xmlns:c16="http://schemas.microsoft.com/office/drawing/2014/chart" uri="{C3380CC4-5D6E-409C-BE32-E72D297353CC}">
              <c16:uniqueId val="{00000000-25A3-47EE-8316-9263E1147D5C}"/>
            </c:ext>
          </c:extLst>
        </c:ser>
        <c:dLbls>
          <c:showLegendKey val="0"/>
          <c:showVal val="0"/>
          <c:showCatName val="0"/>
          <c:showSerName val="0"/>
          <c:showPercent val="0"/>
          <c:showBubbleSize val="0"/>
        </c:dLbls>
        <c:gapWidth val="50"/>
        <c:axId val="427669432"/>
        <c:axId val="427669824"/>
      </c:barChart>
      <c:lineChart>
        <c:grouping val="standard"/>
        <c:varyColors val="0"/>
        <c:ser>
          <c:idx val="1"/>
          <c:order val="1"/>
          <c:tx>
            <c:strRef>
              <c:f>Joonised!$K$865</c:f>
              <c:strCache>
                <c:ptCount val="1"/>
                <c:pt idx="0">
                  <c:v>Kasv v.e.a (parem skaala)</c:v>
                </c:pt>
              </c:strCache>
            </c:strRef>
          </c:tx>
          <c:marker>
            <c:symbol val="none"/>
          </c:marker>
          <c:cat>
            <c:strRef>
              <c:f>Joonised!$I$866:$I$878</c:f>
              <c:strCache>
                <c:ptCount val="13"/>
                <c:pt idx="0">
                  <c:v>'14</c:v>
                </c:pt>
                <c:pt idx="1">
                  <c:v>'15</c:v>
                </c:pt>
                <c:pt idx="2">
                  <c:v>'16</c:v>
                </c:pt>
                <c:pt idx="3">
                  <c:v>'17</c:v>
                </c:pt>
                <c:pt idx="4">
                  <c:v>'18</c:v>
                </c:pt>
                <c:pt idx="5">
                  <c:v>'19</c:v>
                </c:pt>
                <c:pt idx="6">
                  <c:v>'20</c:v>
                </c:pt>
                <c:pt idx="7">
                  <c:v>'21</c:v>
                </c:pt>
                <c:pt idx="8">
                  <c:v>'22</c:v>
                </c:pt>
                <c:pt idx="9">
                  <c:v>'23</c:v>
                </c:pt>
                <c:pt idx="10">
                  <c:v>'24</c:v>
                </c:pt>
                <c:pt idx="11">
                  <c:v>'25</c:v>
                </c:pt>
                <c:pt idx="12">
                  <c:v>'26</c:v>
                </c:pt>
              </c:strCache>
            </c:strRef>
          </c:cat>
          <c:val>
            <c:numRef>
              <c:f>Joonised!$K$866:$K$878</c:f>
              <c:numCache>
                <c:formatCode>0.00%</c:formatCode>
                <c:ptCount val="13"/>
                <c:pt idx="0">
                  <c:v>4.1947070723752145E-2</c:v>
                </c:pt>
                <c:pt idx="1">
                  <c:v>7.7056174135858635E-2</c:v>
                </c:pt>
                <c:pt idx="2">
                  <c:v>5.0720461095100866E-2</c:v>
                </c:pt>
                <c:pt idx="3">
                  <c:v>9.14205016281322E-2</c:v>
                </c:pt>
                <c:pt idx="4">
                  <c:v>8.9066877686763357E-2</c:v>
                </c:pt>
                <c:pt idx="5">
                  <c:v>7.3809687460110185E-2</c:v>
                </c:pt>
                <c:pt idx="6">
                  <c:v>0.12592355523043164</c:v>
                </c:pt>
                <c:pt idx="7">
                  <c:v>5.4210556236853336E-2</c:v>
                </c:pt>
                <c:pt idx="8">
                  <c:v>9.1057618482027314E-2</c:v>
                </c:pt>
                <c:pt idx="9">
                  <c:v>4.5791742618738862E-2</c:v>
                </c:pt>
                <c:pt idx="10">
                  <c:v>3.6089516773845753E-2</c:v>
                </c:pt>
                <c:pt idx="11">
                  <c:v>1.2022937024250391E-2</c:v>
                </c:pt>
                <c:pt idx="12">
                  <c:v>2.0369406110442245E-2</c:v>
                </c:pt>
              </c:numCache>
            </c:numRef>
          </c:val>
          <c:smooth val="1"/>
          <c:extLst>
            <c:ext xmlns:c16="http://schemas.microsoft.com/office/drawing/2014/chart" uri="{C3380CC4-5D6E-409C-BE32-E72D297353CC}">
              <c16:uniqueId val="{00000001-25A3-47EE-8316-9263E1147D5C}"/>
            </c:ext>
          </c:extLst>
        </c:ser>
        <c:dLbls>
          <c:showLegendKey val="0"/>
          <c:showVal val="0"/>
          <c:showCatName val="0"/>
          <c:showSerName val="0"/>
          <c:showPercent val="0"/>
          <c:showBubbleSize val="0"/>
        </c:dLbls>
        <c:marker val="1"/>
        <c:smooth val="0"/>
        <c:axId val="1092294799"/>
        <c:axId val="1092325999"/>
      </c:lineChart>
      <c:catAx>
        <c:axId val="427669432"/>
        <c:scaling>
          <c:orientation val="minMax"/>
        </c:scaling>
        <c:delete val="0"/>
        <c:axPos val="b"/>
        <c:numFmt formatCode="#,##0.00" sourceLinked="0"/>
        <c:majorTickMark val="out"/>
        <c:minorTickMark val="none"/>
        <c:tickLblPos val="nextTo"/>
        <c:spPr>
          <a:ln w="2570">
            <a:solidFill>
              <a:srgbClr val="000000"/>
            </a:solidFill>
            <a:prstDash val="solid"/>
          </a:ln>
        </c:spPr>
        <c:txPr>
          <a:bodyPr rot="0" vert="horz"/>
          <a:lstStyle/>
          <a:p>
            <a:pPr>
              <a:defRPr/>
            </a:pPr>
            <a:endParaRPr lang="et-EE"/>
          </a:p>
        </c:txPr>
        <c:crossAx val="427669824"/>
        <c:crosses val="autoZero"/>
        <c:auto val="1"/>
        <c:lblAlgn val="ctr"/>
        <c:lblOffset val="100"/>
        <c:noMultiLvlLbl val="0"/>
      </c:catAx>
      <c:valAx>
        <c:axId val="427669824"/>
        <c:scaling>
          <c:orientation val="minMax"/>
        </c:scaling>
        <c:delete val="0"/>
        <c:axPos val="l"/>
        <c:majorGridlines>
          <c:spPr>
            <a:ln w="2570">
              <a:solidFill>
                <a:schemeClr val="bg1">
                  <a:lumMod val="50000"/>
                  <a:alpha val="50000"/>
                </a:schemeClr>
              </a:solidFill>
              <a:prstDash val="dash"/>
            </a:ln>
          </c:spPr>
        </c:majorGridlines>
        <c:title>
          <c:tx>
            <c:rich>
              <a:bodyPr rot="0" vert="horz"/>
              <a:lstStyle/>
              <a:p>
                <a:pPr>
                  <a:defRPr/>
                </a:pPr>
                <a:r>
                  <a:rPr lang="et-EE"/>
                  <a:t>% SKPst</a:t>
                </a:r>
              </a:p>
            </c:rich>
          </c:tx>
          <c:layout>
            <c:manualLayout>
              <c:xMode val="edge"/>
              <c:yMode val="edge"/>
              <c:x val="0"/>
              <c:y val="2.1465588972632243E-2"/>
            </c:manualLayout>
          </c:layout>
          <c:overlay val="0"/>
        </c:title>
        <c:numFmt formatCode="0%" sourceLinked="0"/>
        <c:majorTickMark val="in"/>
        <c:minorTickMark val="none"/>
        <c:tickLblPos val="nextTo"/>
        <c:spPr>
          <a:ln w="2570">
            <a:solidFill>
              <a:srgbClr val="000000"/>
            </a:solidFill>
            <a:prstDash val="sysDash"/>
          </a:ln>
        </c:spPr>
        <c:txPr>
          <a:bodyPr rot="0" vert="horz"/>
          <a:lstStyle/>
          <a:p>
            <a:pPr>
              <a:defRPr/>
            </a:pPr>
            <a:endParaRPr lang="et-EE"/>
          </a:p>
        </c:txPr>
        <c:crossAx val="427669432"/>
        <c:crosses val="autoZero"/>
        <c:crossBetween val="between"/>
      </c:valAx>
      <c:valAx>
        <c:axId val="1092325999"/>
        <c:scaling>
          <c:orientation val="minMax"/>
        </c:scaling>
        <c:delete val="0"/>
        <c:axPos val="r"/>
        <c:numFmt formatCode="0%" sourceLinked="0"/>
        <c:majorTickMark val="out"/>
        <c:minorTickMark val="none"/>
        <c:tickLblPos val="nextTo"/>
        <c:crossAx val="1092294799"/>
        <c:crosses val="max"/>
        <c:crossBetween val="between"/>
        <c:majorUnit val="5.000000000000001E-2"/>
      </c:valAx>
      <c:catAx>
        <c:axId val="1092294799"/>
        <c:scaling>
          <c:orientation val="minMax"/>
        </c:scaling>
        <c:delete val="1"/>
        <c:axPos val="b"/>
        <c:title>
          <c:tx>
            <c:rich>
              <a:bodyPr/>
              <a:lstStyle/>
              <a:p>
                <a:pPr>
                  <a:defRPr/>
                </a:pPr>
                <a:r>
                  <a:rPr lang="et-EE" sz="900"/>
                  <a:t>Aastane muutus,</a:t>
                </a:r>
                <a:r>
                  <a:rPr lang="et-EE" sz="900" baseline="0"/>
                  <a:t> %</a:t>
                </a:r>
                <a:endParaRPr lang="et-EE" sz="900"/>
              </a:p>
            </c:rich>
          </c:tx>
          <c:layout>
            <c:manualLayout>
              <c:xMode val="edge"/>
              <c:yMode val="edge"/>
              <c:x val="0.88637783978580875"/>
              <c:y val="3.959799753465322E-2"/>
            </c:manualLayout>
          </c:layout>
          <c:overlay val="0"/>
        </c:title>
        <c:numFmt formatCode="General" sourceLinked="1"/>
        <c:majorTickMark val="out"/>
        <c:minorTickMark val="none"/>
        <c:tickLblPos val="nextTo"/>
        <c:crossAx val="1092325999"/>
        <c:crosses val="autoZero"/>
        <c:auto val="1"/>
        <c:lblAlgn val="ctr"/>
        <c:lblOffset val="100"/>
        <c:noMultiLvlLbl val="0"/>
      </c:catAx>
      <c:spPr>
        <a:ln>
          <a:noFill/>
        </a:ln>
      </c:spPr>
    </c:plotArea>
    <c:legend>
      <c:legendPos val="b"/>
      <c:layout>
        <c:manualLayout>
          <c:xMode val="edge"/>
          <c:yMode val="edge"/>
          <c:x val="5.5325442274261186E-2"/>
          <c:y val="0.81677863855727706"/>
          <c:w val="0.82150833418549951"/>
          <c:h val="0.18322136144272289"/>
        </c:manualLayout>
      </c:layout>
      <c:overlay val="0"/>
    </c:legend>
    <c:plotVisOnly val="1"/>
    <c:dispBlanksAs val="gap"/>
    <c:showDLblsOverMax val="0"/>
  </c:chart>
  <c:spPr>
    <a:noFill/>
    <a:ln>
      <a:noFill/>
    </a:ln>
  </c:spPr>
  <c:txPr>
    <a:bodyPr/>
    <a:lstStyle/>
    <a:p>
      <a:pPr>
        <a:defRPr sz="800" b="0" i="0" u="none" strike="noStrike" baseline="0">
          <a:solidFill>
            <a:srgbClr val="000000"/>
          </a:solidFill>
          <a:latin typeface="Segoe UI Light" panose="020B0502040204020203" pitchFamily="34" charset="0"/>
          <a:ea typeface="Garamond"/>
          <a:cs typeface="Garamond"/>
        </a:defRPr>
      </a:pPr>
      <a:endParaRPr lang="et-E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608058608058365E-2"/>
          <c:y val="4.4636113002353962E-2"/>
          <c:w val="0.94505494505494458"/>
          <c:h val="0.66523983842857271"/>
        </c:manualLayout>
      </c:layout>
      <c:lineChart>
        <c:grouping val="standard"/>
        <c:varyColors val="0"/>
        <c:ser>
          <c:idx val="0"/>
          <c:order val="0"/>
          <c:tx>
            <c:strRef>
              <c:f>Joonised!$K$45</c:f>
              <c:strCache>
                <c:ptCount val="1"/>
                <c:pt idx="0">
                  <c:v>Eesti</c:v>
                </c:pt>
              </c:strCache>
            </c:strRef>
          </c:tx>
          <c:marker>
            <c:symbol val="circle"/>
            <c:size val="4"/>
            <c:spPr>
              <a:solidFill>
                <a:srgbClr val="FFFFFF"/>
              </a:solidFill>
            </c:spPr>
          </c:marker>
          <c:cat>
            <c:strRef>
              <c:f>Joonised!$J$46:$J$71</c:f>
              <c:strCache>
                <c:ptCount val="26"/>
                <c:pt idx="0">
                  <c:v>`01</c:v>
                </c:pt>
                <c:pt idx="1">
                  <c:v>`02</c:v>
                </c:pt>
                <c:pt idx="2">
                  <c:v>`03</c:v>
                </c:pt>
                <c:pt idx="3">
                  <c:v>`04</c:v>
                </c:pt>
                <c:pt idx="4">
                  <c:v>`05</c:v>
                </c:pt>
                <c:pt idx="5">
                  <c:v>`06</c:v>
                </c:pt>
                <c:pt idx="6">
                  <c:v>`07</c:v>
                </c:pt>
                <c:pt idx="7">
                  <c:v>`08</c:v>
                </c:pt>
                <c:pt idx="8">
                  <c:v>`09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strCache>
            </c:strRef>
          </c:cat>
          <c:val>
            <c:numRef>
              <c:f>Joonised!$K$46:$K$71</c:f>
              <c:numCache>
                <c:formatCode>0.0</c:formatCode>
                <c:ptCount val="26"/>
                <c:pt idx="0">
                  <c:v>4.630862879063228</c:v>
                </c:pt>
                <c:pt idx="1">
                  <c:v>5.8346785544377546</c:v>
                </c:pt>
                <c:pt idx="2">
                  <c:v>5.176256329310867</c:v>
                </c:pt>
                <c:pt idx="3">
                  <c:v>4.3738697085996261</c:v>
                </c:pt>
                <c:pt idx="4">
                  <c:v>4.5931428954717655</c:v>
                </c:pt>
                <c:pt idx="5">
                  <c:v>5.3655752391475087</c:v>
                </c:pt>
                <c:pt idx="6">
                  <c:v>5.9553345760139615</c:v>
                </c:pt>
                <c:pt idx="7">
                  <c:v>6.1580860505076638</c:v>
                </c:pt>
                <c:pt idx="8">
                  <c:v>6.2075129792749557</c:v>
                </c:pt>
                <c:pt idx="9">
                  <c:v>4.793755708311787</c:v>
                </c:pt>
                <c:pt idx="10">
                  <c:v>4.8683230619421582</c:v>
                </c:pt>
                <c:pt idx="11">
                  <c:v>6.2806299472391078</c:v>
                </c:pt>
                <c:pt idx="12">
                  <c:v>5.5428899789824122</c:v>
                </c:pt>
                <c:pt idx="13">
                  <c:v>5.0114000058751262</c:v>
                </c:pt>
                <c:pt idx="14">
                  <c:v>5.2135924876150108</c:v>
                </c:pt>
                <c:pt idx="15">
                  <c:v>4.5271343206100116</c:v>
                </c:pt>
                <c:pt idx="16">
                  <c:v>5.5761936885673791</c:v>
                </c:pt>
                <c:pt idx="17">
                  <c:v>5.2531797614436515</c:v>
                </c:pt>
                <c:pt idx="18">
                  <c:v>4.8756698486493724</c:v>
                </c:pt>
                <c:pt idx="19">
                  <c:v>5.8</c:v>
                </c:pt>
                <c:pt idx="20">
                  <c:v>5.681343770384867</c:v>
                </c:pt>
                <c:pt idx="21">
                  <c:v>6.7481826451289866</c:v>
                </c:pt>
                <c:pt idx="22">
                  <c:v>7.5626110992216677</c:v>
                </c:pt>
                <c:pt idx="23">
                  <c:v>7.6270253131560288</c:v>
                </c:pt>
                <c:pt idx="24">
                  <c:v>6.7404911113776693</c:v>
                </c:pt>
                <c:pt idx="25">
                  <c:v>6.1395702372633076</c:v>
                </c:pt>
              </c:numCache>
            </c:numRef>
          </c:val>
          <c:smooth val="0"/>
          <c:extLst>
            <c:ext xmlns:c16="http://schemas.microsoft.com/office/drawing/2014/chart" uri="{C3380CC4-5D6E-409C-BE32-E72D297353CC}">
              <c16:uniqueId val="{00000000-A205-4B56-9226-47D496E9C1CB}"/>
            </c:ext>
          </c:extLst>
        </c:ser>
        <c:ser>
          <c:idx val="1"/>
          <c:order val="1"/>
          <c:tx>
            <c:strRef>
              <c:f>Joonised!$L$45</c:f>
              <c:strCache>
                <c:ptCount val="1"/>
                <c:pt idx="0">
                  <c:v>EL28</c:v>
                </c:pt>
              </c:strCache>
            </c:strRef>
          </c:tx>
          <c:marker>
            <c:symbol val="circle"/>
            <c:size val="4"/>
            <c:spPr>
              <a:solidFill>
                <a:schemeClr val="bg1"/>
              </a:solidFill>
            </c:spPr>
          </c:marker>
          <c:cat>
            <c:strRef>
              <c:f>Joonised!$J$46:$J$71</c:f>
              <c:strCache>
                <c:ptCount val="26"/>
                <c:pt idx="0">
                  <c:v>`01</c:v>
                </c:pt>
                <c:pt idx="1">
                  <c:v>`02</c:v>
                </c:pt>
                <c:pt idx="2">
                  <c:v>`03</c:v>
                </c:pt>
                <c:pt idx="3">
                  <c:v>`04</c:v>
                </c:pt>
                <c:pt idx="4">
                  <c:v>`05</c:v>
                </c:pt>
                <c:pt idx="5">
                  <c:v>`06</c:v>
                </c:pt>
                <c:pt idx="6">
                  <c:v>`07</c:v>
                </c:pt>
                <c:pt idx="7">
                  <c:v>`08</c:v>
                </c:pt>
                <c:pt idx="8">
                  <c:v>`09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strCache>
            </c:strRef>
          </c:cat>
          <c:val>
            <c:numRef>
              <c:f>Joonised!$L$46:$L$71</c:f>
              <c:numCache>
                <c:formatCode>General</c:formatCode>
                <c:ptCount val="26"/>
                <c:pt idx="0">
                  <c:v>3.2</c:v>
                </c:pt>
                <c:pt idx="1">
                  <c:v>3.2</c:v>
                </c:pt>
                <c:pt idx="2">
                  <c:v>3.3</c:v>
                </c:pt>
                <c:pt idx="3">
                  <c:v>3.2</c:v>
                </c:pt>
                <c:pt idx="4">
                  <c:v>3.3</c:v>
                </c:pt>
                <c:pt idx="5">
                  <c:v>3.4</c:v>
                </c:pt>
                <c:pt idx="6">
                  <c:v>3.4</c:v>
                </c:pt>
                <c:pt idx="7">
                  <c:v>3.5</c:v>
                </c:pt>
                <c:pt idx="8">
                  <c:v>3.8</c:v>
                </c:pt>
                <c:pt idx="9">
                  <c:v>3.6</c:v>
                </c:pt>
                <c:pt idx="10">
                  <c:v>3.4</c:v>
                </c:pt>
                <c:pt idx="11">
                  <c:v>3.2</c:v>
                </c:pt>
                <c:pt idx="12">
                  <c:v>3.1</c:v>
                </c:pt>
                <c:pt idx="13">
                  <c:v>3</c:v>
                </c:pt>
                <c:pt idx="14">
                  <c:v>3</c:v>
                </c:pt>
                <c:pt idx="15">
                  <c:v>2.8</c:v>
                </c:pt>
                <c:pt idx="16">
                  <c:v>2.8</c:v>
                </c:pt>
                <c:pt idx="17">
                  <c:v>2.9</c:v>
                </c:pt>
                <c:pt idx="18">
                  <c:v>3</c:v>
                </c:pt>
                <c:pt idx="19">
                  <c:v>3.3</c:v>
                </c:pt>
              </c:numCache>
            </c:numRef>
          </c:val>
          <c:smooth val="0"/>
          <c:extLst>
            <c:ext xmlns:c16="http://schemas.microsoft.com/office/drawing/2014/chart" uri="{C3380CC4-5D6E-409C-BE32-E72D297353CC}">
              <c16:uniqueId val="{00000001-A205-4B56-9226-47D496E9C1CB}"/>
            </c:ext>
          </c:extLst>
        </c:ser>
        <c:dLbls>
          <c:showLegendKey val="0"/>
          <c:showVal val="0"/>
          <c:showCatName val="0"/>
          <c:showSerName val="0"/>
          <c:showPercent val="0"/>
          <c:showBubbleSize val="0"/>
        </c:dLbls>
        <c:marker val="1"/>
        <c:smooth val="0"/>
        <c:axId val="433433184"/>
        <c:axId val="433433576"/>
      </c:lineChart>
      <c:catAx>
        <c:axId val="433433184"/>
        <c:scaling>
          <c:orientation val="minMax"/>
        </c:scaling>
        <c:delete val="0"/>
        <c:axPos val="b"/>
        <c:majorGridlines>
          <c:spPr>
            <a:ln w="0">
              <a:solidFill>
                <a:schemeClr val="bg1">
                  <a:alpha val="50000"/>
                </a:schemeClr>
              </a:solidFill>
              <a:prstDash val="lgDash"/>
            </a:ln>
          </c:spPr>
        </c:majorGridlines>
        <c:numFmt formatCode="General" sourceLinked="1"/>
        <c:majorTickMark val="out"/>
        <c:minorTickMark val="none"/>
        <c:tickLblPos val="nextTo"/>
        <c:spPr>
          <a:ln w="3174">
            <a:solidFill>
              <a:srgbClr val="000000"/>
            </a:solidFill>
            <a:prstDash val="solid"/>
          </a:ln>
        </c:spPr>
        <c:txPr>
          <a:bodyPr rot="0" vert="horz"/>
          <a:lstStyle/>
          <a:p>
            <a:pPr>
              <a:defRPr/>
            </a:pPr>
            <a:endParaRPr lang="et-EE"/>
          </a:p>
        </c:txPr>
        <c:crossAx val="433433576"/>
        <c:crossesAt val="0"/>
        <c:auto val="1"/>
        <c:lblAlgn val="ctr"/>
        <c:lblOffset val="100"/>
        <c:tickLblSkip val="2"/>
        <c:tickMarkSkip val="1"/>
        <c:noMultiLvlLbl val="0"/>
      </c:catAx>
      <c:valAx>
        <c:axId val="433433576"/>
        <c:scaling>
          <c:orientation val="minMax"/>
          <c:max val="8"/>
          <c:min val="0"/>
        </c:scaling>
        <c:delete val="0"/>
        <c:axPos val="l"/>
        <c:majorGridlines>
          <c:spPr>
            <a:ln w="3174">
              <a:solidFill>
                <a:schemeClr val="bg1">
                  <a:lumMod val="75000"/>
                </a:schemeClr>
              </a:solidFill>
              <a:prstDash val="dash"/>
            </a:ln>
          </c:spPr>
        </c:majorGridlines>
        <c:minorGridlines>
          <c:spPr>
            <a:ln w="3174">
              <a:solidFill>
                <a:srgbClr val="000000"/>
              </a:solidFill>
              <a:prstDash val="dash"/>
            </a:ln>
          </c:spPr>
        </c:minorGridlines>
        <c:numFmt formatCode="0" sourceLinked="0"/>
        <c:majorTickMark val="in"/>
        <c:minorTickMark val="none"/>
        <c:tickLblPos val="nextTo"/>
        <c:spPr>
          <a:ln w="3174">
            <a:solidFill>
              <a:srgbClr val="000000"/>
            </a:solidFill>
            <a:prstDash val="solid"/>
          </a:ln>
        </c:spPr>
        <c:txPr>
          <a:bodyPr rot="0" vert="horz"/>
          <a:lstStyle/>
          <a:p>
            <a:pPr>
              <a:defRPr/>
            </a:pPr>
            <a:endParaRPr lang="et-EE"/>
          </a:p>
        </c:txPr>
        <c:crossAx val="433433184"/>
        <c:crosses val="autoZero"/>
        <c:crossBetween val="between"/>
        <c:majorUnit val="2"/>
        <c:minorUnit val="2"/>
      </c:valAx>
      <c:spPr>
        <a:noFill/>
        <a:ln w="3174">
          <a:noFill/>
          <a:prstDash val="solid"/>
        </a:ln>
      </c:spPr>
    </c:plotArea>
    <c:legend>
      <c:legendPos val="b"/>
      <c:layout>
        <c:manualLayout>
          <c:xMode val="edge"/>
          <c:yMode val="edge"/>
          <c:x val="0.22696406370256444"/>
          <c:y val="0.88610185843873801"/>
          <c:w val="0.54137262447460011"/>
          <c:h val="0.11389814156130842"/>
        </c:manualLayout>
      </c:layout>
      <c:overlay val="0"/>
      <c:spPr>
        <a:noFill/>
        <a:ln w="3174">
          <a:noFill/>
          <a:prstDash val="solid"/>
        </a:ln>
      </c:spPr>
    </c:legend>
    <c:plotVisOnly val="1"/>
    <c:dispBlanksAs val="gap"/>
    <c:showDLblsOverMax val="0"/>
  </c:chart>
  <c:spPr>
    <a:noFill/>
    <a:ln>
      <a:noFill/>
    </a:ln>
  </c:spPr>
  <c:txPr>
    <a:bodyPr/>
    <a:lstStyle/>
    <a:p>
      <a:pPr>
        <a:defRPr sz="900" b="0" i="0" u="none" strike="noStrike" baseline="0">
          <a:solidFill>
            <a:srgbClr val="000000"/>
          </a:solidFill>
          <a:latin typeface="Roboto Condensed" panose="02000000000000000000" pitchFamily="2" charset="0"/>
          <a:ea typeface="Roboto Condensed" panose="02000000000000000000" pitchFamily="2" charset="0"/>
          <a:cs typeface="Segoe UI Light" panose="020B0502040204020203" pitchFamily="34" charset="0"/>
        </a:defRPr>
      </a:pPr>
      <a:endParaRPr lang="et-E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baseline="0">
                <a:solidFill>
                  <a:srgbClr val="000000"/>
                </a:solidFill>
                <a:latin typeface="Segoe UI Light" panose="020B0502040204020203" pitchFamily="34" charset="0"/>
                <a:ea typeface="Garamond"/>
                <a:cs typeface="Segoe UI Light" panose="020B0502040204020203" pitchFamily="34" charset="0"/>
              </a:defRPr>
            </a:pPr>
            <a:r>
              <a:rPr lang="et-EE" sz="800"/>
              <a:t>(% SKPst)</a:t>
            </a:r>
          </a:p>
        </c:rich>
      </c:tx>
      <c:layout>
        <c:manualLayout>
          <c:xMode val="edge"/>
          <c:yMode val="edge"/>
          <c:x val="6.8438003220612194E-4"/>
          <c:y val="0"/>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Segoe UI Light" panose="020B0502040204020203" pitchFamily="34" charset="0"/>
              <a:ea typeface="Garamond"/>
              <a:cs typeface="Segoe UI Light" panose="020B0502040204020203" pitchFamily="34" charset="0"/>
            </a:defRPr>
          </a:pPr>
          <a:endParaRPr lang="et-EE"/>
        </a:p>
      </c:txPr>
    </c:title>
    <c:autoTitleDeleted val="0"/>
    <c:plotArea>
      <c:layout>
        <c:manualLayout>
          <c:layoutTarget val="inner"/>
          <c:xMode val="edge"/>
          <c:yMode val="edge"/>
          <c:x val="0.11460855528652172"/>
          <c:y val="7.6466663734072404E-2"/>
          <c:w val="0.86563046144655664"/>
          <c:h val="0.63430519306868693"/>
        </c:manualLayout>
      </c:layout>
      <c:barChart>
        <c:barDir val="col"/>
        <c:grouping val="clustered"/>
        <c:varyColors val="0"/>
        <c:ser>
          <c:idx val="7"/>
          <c:order val="7"/>
          <c:tx>
            <c:strRef>
              <c:f>Joonised!$S$378</c:f>
              <c:strCache>
                <c:ptCount val="1"/>
                <c:pt idx="0">
                  <c:v>Reservid</c:v>
                </c:pt>
              </c:strCache>
            </c:strRef>
          </c:tx>
          <c:spPr>
            <a:solidFill>
              <a:schemeClr val="accent3">
                <a:lumMod val="80000"/>
                <a:lumOff val="20000"/>
              </a:schemeClr>
            </a:solidFill>
            <a:ln>
              <a:noFill/>
            </a:ln>
            <a:effectLst/>
          </c:spPr>
          <c:invertIfNegative val="0"/>
          <c:dLbls>
            <c:dLbl>
              <c:idx val="10"/>
              <c:tx>
                <c:rich>
                  <a:bodyPr/>
                  <a:lstStyle/>
                  <a:p>
                    <a:fld id="{F9A00422-1D79-469F-8A76-FBC16AED1CE9}" type="VALUE">
                      <a:rPr lang="en-US"/>
                      <a:pPr/>
                      <a:t>[VÄÄRTUS]</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303-496D-BDA3-1B2D1F5958C6}"/>
                </c:ext>
              </c:extLst>
            </c:dLbl>
            <c:dLbl>
              <c:idx val="11"/>
              <c:tx>
                <c:rich>
                  <a:bodyPr/>
                  <a:lstStyle/>
                  <a:p>
                    <a:fld id="{EB9CD28C-44F5-4B8A-B3C5-92D33B8D0C9A}" type="VALUE">
                      <a:rPr lang="en-US"/>
                      <a:pPr/>
                      <a:t>[VÄÄRTUS]</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303-496D-BDA3-1B2D1F5958C6}"/>
                </c:ext>
              </c:extLst>
            </c:dLbl>
            <c:dLbl>
              <c:idx val="15"/>
              <c:tx>
                <c:rich>
                  <a:bodyPr/>
                  <a:lstStyle/>
                  <a:p>
                    <a:fld id="{20EF8F2E-892F-4876-AFC6-FC3991E7E1B7}" type="VALUE">
                      <a:rPr lang="en-US"/>
                      <a:pPr/>
                      <a:t>[VÄÄRTUS]</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303-496D-BDA3-1B2D1F5958C6}"/>
                </c:ext>
              </c:extLst>
            </c:dLbl>
            <c:spPr>
              <a:noFill/>
              <a:ln>
                <a:noFill/>
              </a:ln>
              <a:effectLst/>
            </c:spPr>
            <c:txPr>
              <a:bodyPr rot="0" spcFirstLastPara="1" vertOverflow="ellipsis" vert="horz" wrap="square" lIns="38100" tIns="19050" rIns="38100" bIns="19050" anchor="ctr" anchorCtr="1">
                <a:spAutoFit/>
              </a:bodyPr>
              <a:lstStyle/>
              <a:p>
                <a:pPr>
                  <a:defRPr sz="833" b="0" i="0" u="none" strike="noStrike" kern="1200" baseline="0">
                    <a:solidFill>
                      <a:srgbClr val="000000"/>
                    </a:solidFill>
                    <a:latin typeface="Segoe UI Light" panose="020B0502040204020203" pitchFamily="34" charset="0"/>
                    <a:ea typeface="Garamond"/>
                    <a:cs typeface="Segoe UI Light" panose="020B0502040204020203" pitchFamily="34" charset="0"/>
                  </a:defRPr>
                </a:pPr>
                <a:endParaRPr lang="et-E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Joonised!$K$384:$K$399</c:f>
              <c:strCache>
                <c:ptCount val="16"/>
                <c:pt idx="0">
                  <c:v> '11</c:v>
                </c:pt>
                <c:pt idx="1">
                  <c:v> '12</c:v>
                </c:pt>
                <c:pt idx="2">
                  <c:v> '13</c:v>
                </c:pt>
                <c:pt idx="3">
                  <c:v> '14</c:v>
                </c:pt>
                <c:pt idx="4">
                  <c:v> '15</c:v>
                </c:pt>
                <c:pt idx="5">
                  <c:v> '16</c:v>
                </c:pt>
                <c:pt idx="6">
                  <c:v> '17</c:v>
                </c:pt>
                <c:pt idx="7">
                  <c:v> '18</c:v>
                </c:pt>
                <c:pt idx="8">
                  <c:v> '19</c:v>
                </c:pt>
                <c:pt idx="9">
                  <c:v> '20</c:v>
                </c:pt>
                <c:pt idx="10">
                  <c:v> '21</c:v>
                </c:pt>
                <c:pt idx="11">
                  <c:v> '22</c:v>
                </c:pt>
                <c:pt idx="12">
                  <c:v> '23</c:v>
                </c:pt>
                <c:pt idx="13">
                  <c:v> '24</c:v>
                </c:pt>
                <c:pt idx="14">
                  <c:v> '25</c:v>
                </c:pt>
                <c:pt idx="15">
                  <c:v> '26</c:v>
                </c:pt>
              </c:strCache>
              <c:extLst/>
            </c:strRef>
          </c:cat>
          <c:val>
            <c:numRef>
              <c:f>Joonised!$S$384:$S$399</c:f>
              <c:numCache>
                <c:formatCode>0.0</c:formatCode>
                <c:ptCount val="16"/>
                <c:pt idx="0">
                  <c:v>9.9473131187838355</c:v>
                </c:pt>
                <c:pt idx="1">
                  <c:v>9.5442085852549479</c:v>
                </c:pt>
                <c:pt idx="2">
                  <c:v>9.1933164788847659</c:v>
                </c:pt>
                <c:pt idx="3">
                  <c:v>10.632810236928961</c:v>
                </c:pt>
                <c:pt idx="4">
                  <c:v>8.5956774415572461</c:v>
                </c:pt>
                <c:pt idx="5">
                  <c:v>8.4725421764860052</c:v>
                </c:pt>
                <c:pt idx="6">
                  <c:v>7.7281652792696027</c:v>
                </c:pt>
                <c:pt idx="7">
                  <c:v>7.0420953148239951</c:v>
                </c:pt>
                <c:pt idx="8">
                  <c:v>8.0750313712480697</c:v>
                </c:pt>
                <c:pt idx="9">
                  <c:v>12.305381857750817</c:v>
                </c:pt>
                <c:pt idx="10">
                  <c:v>10.387249317070289</c:v>
                </c:pt>
                <c:pt idx="11">
                  <c:v>7.7338135168149194</c:v>
                </c:pt>
                <c:pt idx="12">
                  <c:v>7.1705220894328274</c:v>
                </c:pt>
                <c:pt idx="13">
                  <c:v>7.2840090995300297</c:v>
                </c:pt>
                <c:pt idx="14">
                  <c:v>7.057479101984554</c:v>
                </c:pt>
                <c:pt idx="15">
                  <c:v>6.7656037005587057</c:v>
                </c:pt>
              </c:numCache>
              <c:extLst/>
            </c:numRef>
          </c:val>
          <c:extLst>
            <c:ext xmlns:c16="http://schemas.microsoft.com/office/drawing/2014/chart" uri="{C3380CC4-5D6E-409C-BE32-E72D297353CC}">
              <c16:uniqueId val="{00000003-6303-496D-BDA3-1B2D1F5958C6}"/>
            </c:ext>
          </c:extLst>
        </c:ser>
        <c:ser>
          <c:idx val="8"/>
          <c:order val="8"/>
          <c:tx>
            <c:strRef>
              <c:f>Joonised!$T$378</c:f>
              <c:strCache>
                <c:ptCount val="1"/>
                <c:pt idx="0">
                  <c:v>Võlg</c:v>
                </c:pt>
              </c:strCache>
            </c:strRef>
          </c:tx>
          <c:spPr>
            <a:solidFill>
              <a:schemeClr val="accent5">
                <a:lumMod val="80000"/>
                <a:lumOff val="20000"/>
              </a:schemeClr>
            </a:solidFill>
            <a:ln>
              <a:noFill/>
            </a:ln>
            <a:effectLst/>
          </c:spPr>
          <c:invertIfNegative val="0"/>
          <c:dLbls>
            <c:dLbl>
              <c:idx val="10"/>
              <c:layout>
                <c:manualLayout>
                  <c:x val="-7.3498709287430014E-3"/>
                  <c:y val="2.8660440355254058E-2"/>
                </c:manualLayout>
              </c:layout>
              <c:tx>
                <c:rich>
                  <a:bodyPr/>
                  <a:lstStyle/>
                  <a:p>
                    <a:fld id="{D5C6BC02-E143-4FC5-B8E4-A0996D2FE07F}" type="VALUE">
                      <a:rPr lang="en-US"/>
                      <a:pPr/>
                      <a:t>[VÄÄRTUS]</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303-496D-BDA3-1B2D1F5958C6}"/>
                </c:ext>
              </c:extLst>
            </c:dLbl>
            <c:dLbl>
              <c:idx val="11"/>
              <c:tx>
                <c:rich>
                  <a:bodyPr/>
                  <a:lstStyle/>
                  <a:p>
                    <a:fld id="{BB14D2FF-2BC6-4DA7-ABDE-9B32F7271008}" type="VALUE">
                      <a:rPr lang="en-US"/>
                      <a:pPr/>
                      <a:t>[VÄÄRTUS]</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303-496D-BDA3-1B2D1F5958C6}"/>
                </c:ext>
              </c:extLst>
            </c:dLbl>
            <c:dLbl>
              <c:idx val="15"/>
              <c:tx>
                <c:rich>
                  <a:bodyPr/>
                  <a:lstStyle/>
                  <a:p>
                    <a:fld id="{DD328488-9DB7-4735-9D0C-A503CE58CB64}" type="VALUE">
                      <a:rPr lang="en-US"/>
                      <a:pPr/>
                      <a:t>[VÄÄRTUS]</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303-496D-BDA3-1B2D1F5958C6}"/>
                </c:ext>
              </c:extLst>
            </c:dLbl>
            <c:spPr>
              <a:noFill/>
              <a:ln>
                <a:noFill/>
              </a:ln>
              <a:effectLst/>
            </c:spPr>
            <c:txPr>
              <a:bodyPr rot="0" spcFirstLastPara="1" vertOverflow="ellipsis" vert="horz" wrap="square" lIns="38100" tIns="19050" rIns="38100" bIns="19050" anchor="ctr" anchorCtr="1">
                <a:spAutoFit/>
              </a:bodyPr>
              <a:lstStyle/>
              <a:p>
                <a:pPr>
                  <a:defRPr sz="833" b="0" i="0" u="none" strike="noStrike" kern="1200" baseline="0">
                    <a:solidFill>
                      <a:srgbClr val="000000"/>
                    </a:solidFill>
                    <a:latin typeface="Segoe UI Light" panose="020B0502040204020203" pitchFamily="34" charset="0"/>
                    <a:ea typeface="Garamond"/>
                    <a:cs typeface="Segoe UI Light" panose="020B0502040204020203" pitchFamily="34" charset="0"/>
                  </a:defRPr>
                </a:pPr>
                <a:endParaRPr lang="et-E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Joonised!$K$384:$K$399</c:f>
              <c:strCache>
                <c:ptCount val="16"/>
                <c:pt idx="0">
                  <c:v> '11</c:v>
                </c:pt>
                <c:pt idx="1">
                  <c:v> '12</c:v>
                </c:pt>
                <c:pt idx="2">
                  <c:v> '13</c:v>
                </c:pt>
                <c:pt idx="3">
                  <c:v> '14</c:v>
                </c:pt>
                <c:pt idx="4">
                  <c:v> '15</c:v>
                </c:pt>
                <c:pt idx="5">
                  <c:v> '16</c:v>
                </c:pt>
                <c:pt idx="6">
                  <c:v> '17</c:v>
                </c:pt>
                <c:pt idx="7">
                  <c:v> '18</c:v>
                </c:pt>
                <c:pt idx="8">
                  <c:v> '19</c:v>
                </c:pt>
                <c:pt idx="9">
                  <c:v> '20</c:v>
                </c:pt>
                <c:pt idx="10">
                  <c:v> '21</c:v>
                </c:pt>
                <c:pt idx="11">
                  <c:v> '22</c:v>
                </c:pt>
                <c:pt idx="12">
                  <c:v> '23</c:v>
                </c:pt>
                <c:pt idx="13">
                  <c:v> '24</c:v>
                </c:pt>
                <c:pt idx="14">
                  <c:v> '25</c:v>
                </c:pt>
                <c:pt idx="15">
                  <c:v> '26</c:v>
                </c:pt>
              </c:strCache>
              <c:extLst/>
            </c:strRef>
          </c:cat>
          <c:val>
            <c:numRef>
              <c:f>Joonised!$T$384:$T$399</c:f>
              <c:numCache>
                <c:formatCode>0.0</c:formatCode>
                <c:ptCount val="16"/>
                <c:pt idx="0">
                  <c:v>-5.9824968343723324</c:v>
                </c:pt>
                <c:pt idx="1">
                  <c:v>-9.7641442021777607</c:v>
                </c:pt>
                <c:pt idx="2">
                  <c:v>-10.16214009227278</c:v>
                </c:pt>
                <c:pt idx="3">
                  <c:v>-10.554514854655823</c:v>
                </c:pt>
                <c:pt idx="4">
                  <c:v>-10.069166751489242</c:v>
                </c:pt>
                <c:pt idx="5">
                  <c:v>-9.9968272798752977</c:v>
                </c:pt>
                <c:pt idx="6">
                  <c:v>-9.1219958378088091</c:v>
                </c:pt>
                <c:pt idx="7">
                  <c:v>-8.2401152702032725</c:v>
                </c:pt>
                <c:pt idx="8">
                  <c:v>-8.5582207093507936</c:v>
                </c:pt>
                <c:pt idx="9">
                  <c:v>-18.995997704456187</c:v>
                </c:pt>
                <c:pt idx="10">
                  <c:v>-18.052511415525114</c:v>
                </c:pt>
                <c:pt idx="11">
                  <c:v>-19.234967066451475</c:v>
                </c:pt>
                <c:pt idx="12">
                  <c:v>-21.577529977048503</c:v>
                </c:pt>
                <c:pt idx="13">
                  <c:v>-25.071789895794058</c:v>
                </c:pt>
                <c:pt idx="14">
                  <c:v>-26.514510962957782</c:v>
                </c:pt>
                <c:pt idx="15">
                  <c:v>-27.111037048535021</c:v>
                </c:pt>
              </c:numCache>
              <c:extLst/>
            </c:numRef>
          </c:val>
          <c:extLst>
            <c:ext xmlns:c16="http://schemas.microsoft.com/office/drawing/2014/chart" uri="{C3380CC4-5D6E-409C-BE32-E72D297353CC}">
              <c16:uniqueId val="{00000007-6303-496D-BDA3-1B2D1F5958C6}"/>
            </c:ext>
          </c:extLst>
        </c:ser>
        <c:dLbls>
          <c:showLegendKey val="0"/>
          <c:showVal val="0"/>
          <c:showCatName val="0"/>
          <c:showSerName val="0"/>
          <c:showPercent val="0"/>
          <c:showBubbleSize val="0"/>
        </c:dLbls>
        <c:gapWidth val="0"/>
        <c:overlap val="91"/>
        <c:axId val="434085512"/>
        <c:axId val="434085904"/>
        <c:extLst>
          <c:ext xmlns:c15="http://schemas.microsoft.com/office/drawing/2012/chart" uri="{02D57815-91ED-43cb-92C2-25804820EDAC}">
            <c15:filteredBarSeries>
              <c15:ser>
                <c:idx val="1"/>
                <c:order val="1"/>
                <c:tx>
                  <c:strRef>
                    <c:extLst>
                      <c:ext uri="{02D57815-91ED-43cb-92C2-25804820EDAC}">
                        <c15:formulaRef>
                          <c15:sqref>Joonised!$M$378</c15:sqref>
                        </c15:formulaRef>
                      </c:ext>
                    </c:extLst>
                    <c:strCache>
                      <c:ptCount val="1"/>
                      <c:pt idx="0">
                        <c:v>Keskvalitsus (EFSF-ta)</c:v>
                      </c:pt>
                    </c:strCache>
                  </c:strRef>
                </c:tx>
                <c:spPr>
                  <a:solidFill>
                    <a:schemeClr val="accent3"/>
                  </a:solidFill>
                  <a:ln>
                    <a:noFill/>
                  </a:ln>
                  <a:effectLst/>
                </c:spPr>
                <c:invertIfNegative val="0"/>
                <c:cat>
                  <c:strRef>
                    <c:extLst>
                      <c:ext uri="{02D57815-91ED-43cb-92C2-25804820EDAC}">
                        <c15:formulaRef>
                          <c15:sqref>Joonised!$K$384:$K$399</c15:sqref>
                        </c15:formulaRef>
                      </c:ext>
                    </c:extLst>
                    <c:strCache>
                      <c:ptCount val="16"/>
                      <c:pt idx="0">
                        <c:v> '11</c:v>
                      </c:pt>
                      <c:pt idx="1">
                        <c:v> '12</c:v>
                      </c:pt>
                      <c:pt idx="2">
                        <c:v> '13</c:v>
                      </c:pt>
                      <c:pt idx="3">
                        <c:v> '14</c:v>
                      </c:pt>
                      <c:pt idx="4">
                        <c:v> '15</c:v>
                      </c:pt>
                      <c:pt idx="5">
                        <c:v> '16</c:v>
                      </c:pt>
                      <c:pt idx="6">
                        <c:v> '17</c:v>
                      </c:pt>
                      <c:pt idx="7">
                        <c:v> '18</c:v>
                      </c:pt>
                      <c:pt idx="8">
                        <c:v> '19</c:v>
                      </c:pt>
                      <c:pt idx="9">
                        <c:v> '20</c:v>
                      </c:pt>
                      <c:pt idx="10">
                        <c:v> '21</c:v>
                      </c:pt>
                      <c:pt idx="11">
                        <c:v> '22</c:v>
                      </c:pt>
                      <c:pt idx="12">
                        <c:v> '23</c:v>
                      </c:pt>
                      <c:pt idx="13">
                        <c:v> '24</c:v>
                      </c:pt>
                      <c:pt idx="14">
                        <c:v> '25</c:v>
                      </c:pt>
                      <c:pt idx="15">
                        <c:v> '26</c:v>
                      </c:pt>
                    </c:strCache>
                  </c:strRef>
                </c:cat>
                <c:val>
                  <c:numRef>
                    <c:extLst>
                      <c:ext uri="{02D57815-91ED-43cb-92C2-25804820EDAC}">
                        <c15:formulaRef>
                          <c15:sqref>Joonised!$M$384:$M$399</c15:sqref>
                        </c15:formulaRef>
                      </c:ext>
                    </c:extLst>
                    <c:numCache>
                      <c:formatCode>0.0</c:formatCode>
                      <c:ptCount val="16"/>
                      <c:pt idx="0">
                        <c:v>-2.6506310868356189</c:v>
                      </c:pt>
                      <c:pt idx="1">
                        <c:v>-4.6551450799203096</c:v>
                      </c:pt>
                      <c:pt idx="2">
                        <c:v>-4.1800188599064469</c:v>
                      </c:pt>
                      <c:pt idx="3">
                        <c:v>-4.4128840383545098</c:v>
                      </c:pt>
                      <c:pt idx="4">
                        <c:v>-4.3429158608521998</c:v>
                      </c:pt>
                      <c:pt idx="5">
                        <c:v>-4.6434941350659145</c:v>
                      </c:pt>
                      <c:pt idx="6">
                        <c:v>-4.035321650946563</c:v>
                      </c:pt>
                      <c:pt idx="7">
                        <c:v>-3.6283869182263269</c:v>
                      </c:pt>
                      <c:pt idx="8">
                        <c:v>-4.0977301351487787</c:v>
                      </c:pt>
                      <c:pt idx="9">
                        <c:v>-13.914846194838008</c:v>
                      </c:pt>
                      <c:pt idx="10">
                        <c:v>-13.487805515329418</c:v>
                      </c:pt>
                      <c:pt idx="11">
                        <c:v>-14.70287497798402</c:v>
                      </c:pt>
                      <c:pt idx="12">
                        <c:v>-17.084971219425221</c:v>
                      </c:pt>
                      <c:pt idx="13">
                        <c:v>-20.595375155866559</c:v>
                      </c:pt>
                      <c:pt idx="14">
                        <c:v>-21.991725086307287</c:v>
                      </c:pt>
                      <c:pt idx="15">
                        <c:v>-22.711392350418958</c:v>
                      </c:pt>
                    </c:numCache>
                  </c:numRef>
                </c:val>
                <c:extLst>
                  <c:ext xmlns:c16="http://schemas.microsoft.com/office/drawing/2014/chart" uri="{C3380CC4-5D6E-409C-BE32-E72D297353CC}">
                    <c16:uniqueId val="{0000000C-6303-496D-BDA3-1B2D1F5958C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Joonised!$N$378</c15:sqref>
                        </c15:formulaRef>
                      </c:ext>
                    </c:extLst>
                    <c:strCache>
                      <c:ptCount val="1"/>
                      <c:pt idx="0">
                        <c:v>Keskvalitsus</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Joonised!$K$384:$K$399</c15:sqref>
                        </c15:formulaRef>
                      </c:ext>
                    </c:extLst>
                    <c:strCache>
                      <c:ptCount val="16"/>
                      <c:pt idx="0">
                        <c:v> '11</c:v>
                      </c:pt>
                      <c:pt idx="1">
                        <c:v> '12</c:v>
                      </c:pt>
                      <c:pt idx="2">
                        <c:v> '13</c:v>
                      </c:pt>
                      <c:pt idx="3">
                        <c:v> '14</c:v>
                      </c:pt>
                      <c:pt idx="4">
                        <c:v> '15</c:v>
                      </c:pt>
                      <c:pt idx="5">
                        <c:v> '16</c:v>
                      </c:pt>
                      <c:pt idx="6">
                        <c:v> '17</c:v>
                      </c:pt>
                      <c:pt idx="7">
                        <c:v> '18</c:v>
                      </c:pt>
                      <c:pt idx="8">
                        <c:v> '19</c:v>
                      </c:pt>
                      <c:pt idx="9">
                        <c:v> '20</c:v>
                      </c:pt>
                      <c:pt idx="10">
                        <c:v> '21</c:v>
                      </c:pt>
                      <c:pt idx="11">
                        <c:v> '22</c:v>
                      </c:pt>
                      <c:pt idx="12">
                        <c:v> '23</c:v>
                      </c:pt>
                      <c:pt idx="13">
                        <c:v> '24</c:v>
                      </c:pt>
                      <c:pt idx="14">
                        <c:v> '25</c:v>
                      </c:pt>
                      <c:pt idx="15">
                        <c:v> '26</c:v>
                      </c:pt>
                    </c:strCache>
                  </c:strRef>
                </c:cat>
                <c:val>
                  <c:numRef>
                    <c:extLst xmlns:c15="http://schemas.microsoft.com/office/drawing/2012/chart">
                      <c:ext xmlns:c15="http://schemas.microsoft.com/office/drawing/2012/chart" uri="{02D57815-91ED-43cb-92C2-25804820EDAC}">
                        <c15:formulaRef>
                          <c15:sqref>Joonised!$N$384:$N$399</c15:sqref>
                        </c15:formulaRef>
                      </c:ext>
                    </c:extLst>
                    <c:numCache>
                      <c:formatCode>0.0</c:formatCode>
                      <c:ptCount val="16"/>
                      <c:pt idx="0">
                        <c:v>5.3793395190726656</c:v>
                      </c:pt>
                      <c:pt idx="1">
                        <c:v>5.049101291270814</c:v>
                      </c:pt>
                      <c:pt idx="2">
                        <c:v>4.6681116078918246</c:v>
                      </c:pt>
                      <c:pt idx="3">
                        <c:v>5.7338979005222077</c:v>
                      </c:pt>
                      <c:pt idx="4">
                        <c:v>3.6716057640575248</c:v>
                      </c:pt>
                      <c:pt idx="5">
                        <c:v>3.6417309257445547</c:v>
                      </c:pt>
                      <c:pt idx="6">
                        <c:v>2.9840225563909772</c:v>
                      </c:pt>
                      <c:pt idx="7">
                        <c:v>2.1527949925632122</c:v>
                      </c:pt>
                      <c:pt idx="8">
                        <c:v>3.1194559432288589</c:v>
                      </c:pt>
                      <c:pt idx="9">
                        <c:v>7.43983513821708</c:v>
                      </c:pt>
                      <c:pt idx="10">
                        <c:v>5.8567861729085147</c:v>
                      </c:pt>
                      <c:pt idx="11">
                        <c:v>3.773303800832938</c:v>
                      </c:pt>
                      <c:pt idx="12">
                        <c:v>3.5190943947081283</c:v>
                      </c:pt>
                      <c:pt idx="13">
                        <c:v>3.9908499430603936</c:v>
                      </c:pt>
                      <c:pt idx="14">
                        <c:v>4.3627202057263332</c:v>
                      </c:pt>
                      <c:pt idx="15">
                        <c:v>4.5274452816515112</c:v>
                      </c:pt>
                    </c:numCache>
                  </c:numRef>
                </c:val>
                <c:extLst xmlns:c15="http://schemas.microsoft.com/office/drawing/2012/chart">
                  <c:ext xmlns:c16="http://schemas.microsoft.com/office/drawing/2014/chart" uri="{C3380CC4-5D6E-409C-BE32-E72D297353CC}">
                    <c16:uniqueId val="{0000000D-6303-496D-BDA3-1B2D1F5958C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Joonised!$O$378</c15:sqref>
                        </c15:formulaRef>
                      </c:ext>
                    </c:extLst>
                    <c:strCache>
                      <c:ptCount val="1"/>
                      <c:pt idx="0">
                        <c:v>Sotsiaalkindlustusfondid</c:v>
                      </c:pt>
                    </c:strCache>
                  </c:strRef>
                </c:tx>
                <c:spPr>
                  <a:solidFill>
                    <a:schemeClr val="accent1">
                      <a:lumMod val="60000"/>
                    </a:schemeClr>
                  </a:solidFill>
                  <a:ln>
                    <a:noFill/>
                  </a:ln>
                  <a:effectLst/>
                </c:spPr>
                <c:invertIfNegative val="0"/>
                <c:dLbls>
                  <c:dLbl>
                    <c:idx val="11"/>
                    <c:layout>
                      <c:manualLayout>
                        <c:x val="8.4541062801932368E-2"/>
                        <c:y val="-7.035814071628145E-2"/>
                      </c:manualLayout>
                    </c:layout>
                    <c:tx>
                      <c:rich>
                        <a:bodyPr/>
                        <a:lstStyle/>
                        <a:p>
                          <a:r>
                            <a:rPr lang="en-US"/>
                            <a:t>6,3%</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0E-6303-496D-BDA3-1B2D1F5958C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Segoe UI Light" panose="020B0502040204020203" pitchFamily="34" charset="0"/>
                          <a:ea typeface="Garamond"/>
                          <a:cs typeface="Segoe UI Light" panose="020B0502040204020203" pitchFamily="34" charset="0"/>
                        </a:defRPr>
                      </a:pPr>
                      <a:endParaRPr lang="et-EE"/>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noFill/>
                            <a:prstDash val="solid"/>
                            <a:round/>
                          </a:ln>
                          <a:effectLst/>
                        </c:spPr>
                      </c15:leaderLines>
                    </c:ext>
                  </c:extLst>
                </c:dLbls>
                <c:cat>
                  <c:strRef>
                    <c:extLst xmlns:c15="http://schemas.microsoft.com/office/drawing/2012/chart">
                      <c:ext xmlns:c15="http://schemas.microsoft.com/office/drawing/2012/chart" uri="{02D57815-91ED-43cb-92C2-25804820EDAC}">
                        <c15:formulaRef>
                          <c15:sqref>Joonised!$K$384:$K$399</c15:sqref>
                        </c15:formulaRef>
                      </c:ext>
                    </c:extLst>
                    <c:strCache>
                      <c:ptCount val="16"/>
                      <c:pt idx="0">
                        <c:v> '11</c:v>
                      </c:pt>
                      <c:pt idx="1">
                        <c:v> '12</c:v>
                      </c:pt>
                      <c:pt idx="2">
                        <c:v> '13</c:v>
                      </c:pt>
                      <c:pt idx="3">
                        <c:v> '14</c:v>
                      </c:pt>
                      <c:pt idx="4">
                        <c:v> '15</c:v>
                      </c:pt>
                      <c:pt idx="5">
                        <c:v> '16</c:v>
                      </c:pt>
                      <c:pt idx="6">
                        <c:v> '17</c:v>
                      </c:pt>
                      <c:pt idx="7">
                        <c:v> '18</c:v>
                      </c:pt>
                      <c:pt idx="8">
                        <c:v> '19</c:v>
                      </c:pt>
                      <c:pt idx="9">
                        <c:v> '20</c:v>
                      </c:pt>
                      <c:pt idx="10">
                        <c:v> '21</c:v>
                      </c:pt>
                      <c:pt idx="11">
                        <c:v> '22</c:v>
                      </c:pt>
                      <c:pt idx="12">
                        <c:v> '23</c:v>
                      </c:pt>
                      <c:pt idx="13">
                        <c:v> '24</c:v>
                      </c:pt>
                      <c:pt idx="14">
                        <c:v> '25</c:v>
                      </c:pt>
                      <c:pt idx="15">
                        <c:v> '26</c:v>
                      </c:pt>
                    </c:strCache>
                  </c:strRef>
                </c:cat>
                <c:val>
                  <c:numRef>
                    <c:extLst xmlns:c15="http://schemas.microsoft.com/office/drawing/2012/chart">
                      <c:ext xmlns:c15="http://schemas.microsoft.com/office/drawing/2012/chart" uri="{02D57815-91ED-43cb-92C2-25804820EDAC}">
                        <c15:formulaRef>
                          <c15:sqref>Joonised!$O$384:$O$399</c15:sqref>
                        </c15:formulaRef>
                      </c:ext>
                    </c:extLst>
                    <c:numCache>
                      <c:formatCode>0.0</c:formatCode>
                      <c:ptCount val="16"/>
                      <c:pt idx="0">
                        <c:v>3.7449994216579672</c:v>
                      </c:pt>
                      <c:pt idx="1">
                        <c:v>3.7449994216579672</c:v>
                      </c:pt>
                      <c:pt idx="2">
                        <c:v>3.8626850355903986</c:v>
                      </c:pt>
                      <c:pt idx="3">
                        <c:v>3.9117958712922229</c:v>
                      </c:pt>
                      <c:pt idx="4">
                        <c:v>3.9556402165641527</c:v>
                      </c:pt>
                      <c:pt idx="5">
                        <c:v>3.7796752789924546</c:v>
                      </c:pt>
                      <c:pt idx="6">
                        <c:v>3.768209586466166</c:v>
                      </c:pt>
                      <c:pt idx="7">
                        <c:v>3.80128284581061</c:v>
                      </c:pt>
                      <c:pt idx="8">
                        <c:v>3.830537566168092</c:v>
                      </c:pt>
                      <c:pt idx="9">
                        <c:v>2.9892377751112371</c:v>
                      </c:pt>
                      <c:pt idx="10">
                        <c:v>2.9631441617742986</c:v>
                      </c:pt>
                      <c:pt idx="11">
                        <c:v>2.5558828870625727</c:v>
                      </c:pt>
                      <c:pt idx="12">
                        <c:v>2.3682932497957356</c:v>
                      </c:pt>
                      <c:pt idx="13">
                        <c:v>2.1303136890540038</c:v>
                      </c:pt>
                      <c:pt idx="14">
                        <c:v>1.6569595476756409</c:v>
                      </c:pt>
                      <c:pt idx="15">
                        <c:v>1.2730767117996933</c:v>
                      </c:pt>
                    </c:numCache>
                  </c:numRef>
                </c:val>
                <c:extLst xmlns:c15="http://schemas.microsoft.com/office/drawing/2012/chart">
                  <c:ext xmlns:c16="http://schemas.microsoft.com/office/drawing/2014/chart" uri="{C3380CC4-5D6E-409C-BE32-E72D297353CC}">
                    <c16:uniqueId val="{0000000F-6303-496D-BDA3-1B2D1F5958C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Joonised!$P$378</c15:sqref>
                        </c15:formulaRef>
                      </c:ext>
                    </c:extLst>
                    <c:strCache>
                      <c:ptCount val="1"/>
                      <c:pt idx="0">
                        <c:v>Kohalikud omavalitsused</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Joonised!$K$384:$K$399</c15:sqref>
                        </c15:formulaRef>
                      </c:ext>
                    </c:extLst>
                    <c:strCache>
                      <c:ptCount val="16"/>
                      <c:pt idx="0">
                        <c:v> '11</c:v>
                      </c:pt>
                      <c:pt idx="1">
                        <c:v> '12</c:v>
                      </c:pt>
                      <c:pt idx="2">
                        <c:v> '13</c:v>
                      </c:pt>
                      <c:pt idx="3">
                        <c:v> '14</c:v>
                      </c:pt>
                      <c:pt idx="4">
                        <c:v> '15</c:v>
                      </c:pt>
                      <c:pt idx="5">
                        <c:v> '16</c:v>
                      </c:pt>
                      <c:pt idx="6">
                        <c:v> '17</c:v>
                      </c:pt>
                      <c:pt idx="7">
                        <c:v> '18</c:v>
                      </c:pt>
                      <c:pt idx="8">
                        <c:v> '19</c:v>
                      </c:pt>
                      <c:pt idx="9">
                        <c:v> '20</c:v>
                      </c:pt>
                      <c:pt idx="10">
                        <c:v> '21</c:v>
                      </c:pt>
                      <c:pt idx="11">
                        <c:v> '22</c:v>
                      </c:pt>
                      <c:pt idx="12">
                        <c:v> '23</c:v>
                      </c:pt>
                      <c:pt idx="13">
                        <c:v> '24</c:v>
                      </c:pt>
                      <c:pt idx="14">
                        <c:v> '25</c:v>
                      </c:pt>
                      <c:pt idx="15">
                        <c:v> '26</c:v>
                      </c:pt>
                    </c:strCache>
                  </c:strRef>
                </c:cat>
                <c:val>
                  <c:numRef>
                    <c:extLst xmlns:c15="http://schemas.microsoft.com/office/drawing/2012/chart">
                      <c:ext xmlns:c15="http://schemas.microsoft.com/office/drawing/2012/chart" uri="{02D57815-91ED-43cb-92C2-25804820EDAC}">
                        <c15:formulaRef>
                          <c15:sqref>Joonised!$P$384:$P$399</c15:sqref>
                        </c15:formulaRef>
                      </c:ext>
                    </c:extLst>
                    <c:numCache>
                      <c:formatCode>0.0</c:formatCode>
                      <c:ptCount val="16"/>
                      <c:pt idx="0">
                        <c:v>-3.2476115475971201</c:v>
                      </c:pt>
                      <c:pt idx="1">
                        <c:v>-3.1433619406046303</c:v>
                      </c:pt>
                      <c:pt idx="2">
                        <c:v>-3.5742445997172849</c:v>
                      </c:pt>
                      <c:pt idx="3">
                        <c:v>-3.7398433545277943</c:v>
                      </c:pt>
                      <c:pt idx="4">
                        <c:v>-3.5228027317716286</c:v>
                      </c:pt>
                      <c:pt idx="5">
                        <c:v>-3.262843768823656</c:v>
                      </c:pt>
                      <c:pt idx="6">
                        <c:v>-3.1791252685284648</c:v>
                      </c:pt>
                      <c:pt idx="7">
                        <c:v>-2.8507684680218146</c:v>
                      </c:pt>
                      <c:pt idx="8">
                        <c:v>-2.7206444447649676</c:v>
                      </c:pt>
                      <c:pt idx="9">
                        <c:v>-3.268541360780485</c:v>
                      </c:pt>
                      <c:pt idx="10">
                        <c:v>-2.9618395303326812</c:v>
                      </c:pt>
                      <c:pt idx="11">
                        <c:v>-3.0303308085855813</c:v>
                      </c:pt>
                      <c:pt idx="12">
                        <c:v>-3.2046760075382332</c:v>
                      </c:pt>
                      <c:pt idx="13">
                        <c:v>-3.2907748789746907</c:v>
                      </c:pt>
                      <c:pt idx="14">
                        <c:v>-3.4303279525342956</c:v>
                      </c:pt>
                      <c:pt idx="15">
                        <c:v>-3.3593301084697433</c:v>
                      </c:pt>
                    </c:numCache>
                  </c:numRef>
                </c:val>
                <c:extLst xmlns:c15="http://schemas.microsoft.com/office/drawing/2012/chart">
                  <c:ext xmlns:c16="http://schemas.microsoft.com/office/drawing/2014/chart" uri="{C3380CC4-5D6E-409C-BE32-E72D297353CC}">
                    <c16:uniqueId val="{00000010-6303-496D-BDA3-1B2D1F5958C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Joonised!$Q$378</c15:sqref>
                        </c15:formulaRef>
                      </c:ext>
                    </c:extLst>
                    <c:strCache>
                      <c:ptCount val="1"/>
                      <c:pt idx="0">
                        <c:v>KOV-d</c:v>
                      </c:pt>
                    </c:strCache>
                  </c:strRef>
                </c:tx>
                <c:spPr>
                  <a:solidFill>
                    <a:schemeClr val="accent5">
                      <a:lumMod val="60000"/>
                    </a:schemeClr>
                  </a:solidFill>
                  <a:ln>
                    <a:noFill/>
                  </a:ln>
                  <a:effectLst/>
                </c:spPr>
                <c:invertIfNegative val="0"/>
                <c:dLbls>
                  <c:dLbl>
                    <c:idx val="3"/>
                    <c:layout>
                      <c:manualLayout>
                        <c:x val="0.24154589371980675"/>
                        <c:y val="-3.6043377642311046E-3"/>
                      </c:manualLayout>
                    </c:layout>
                    <c:tx>
                      <c:rich>
                        <a:bodyPr/>
                        <a:lstStyle/>
                        <a:p>
                          <a:r>
                            <a:rPr lang="en-US"/>
                            <a:t>8,0%</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11-6303-496D-BDA3-1B2D1F5958C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Segoe UI Light" panose="020B0502040204020203" pitchFamily="34" charset="0"/>
                          <a:ea typeface="Garamond"/>
                          <a:cs typeface="Segoe UI Light" panose="020B0502040204020203" pitchFamily="34" charset="0"/>
                        </a:defRPr>
                      </a:pPr>
                      <a:endParaRPr lang="et-EE"/>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noFill/>
                            <a:prstDash val="solid"/>
                            <a:round/>
                          </a:ln>
                          <a:effectLst/>
                        </c:spPr>
                      </c15:leaderLines>
                    </c:ext>
                  </c:extLst>
                </c:dLbls>
                <c:cat>
                  <c:strRef>
                    <c:extLst xmlns:c15="http://schemas.microsoft.com/office/drawing/2012/chart">
                      <c:ext xmlns:c15="http://schemas.microsoft.com/office/drawing/2012/chart" uri="{02D57815-91ED-43cb-92C2-25804820EDAC}">
                        <c15:formulaRef>
                          <c15:sqref>Joonised!$K$384:$K$399</c15:sqref>
                        </c15:formulaRef>
                      </c:ext>
                    </c:extLst>
                    <c:strCache>
                      <c:ptCount val="16"/>
                      <c:pt idx="0">
                        <c:v> '11</c:v>
                      </c:pt>
                      <c:pt idx="1">
                        <c:v> '12</c:v>
                      </c:pt>
                      <c:pt idx="2">
                        <c:v> '13</c:v>
                      </c:pt>
                      <c:pt idx="3">
                        <c:v> '14</c:v>
                      </c:pt>
                      <c:pt idx="4">
                        <c:v> '15</c:v>
                      </c:pt>
                      <c:pt idx="5">
                        <c:v> '16</c:v>
                      </c:pt>
                      <c:pt idx="6">
                        <c:v> '17</c:v>
                      </c:pt>
                      <c:pt idx="7">
                        <c:v> '18</c:v>
                      </c:pt>
                      <c:pt idx="8">
                        <c:v> '19</c:v>
                      </c:pt>
                      <c:pt idx="9">
                        <c:v> '20</c:v>
                      </c:pt>
                      <c:pt idx="10">
                        <c:v> '21</c:v>
                      </c:pt>
                      <c:pt idx="11">
                        <c:v> '22</c:v>
                      </c:pt>
                      <c:pt idx="12">
                        <c:v> '23</c:v>
                      </c:pt>
                      <c:pt idx="13">
                        <c:v> '24</c:v>
                      </c:pt>
                      <c:pt idx="14">
                        <c:v> '25</c:v>
                      </c:pt>
                      <c:pt idx="15">
                        <c:v> '26</c:v>
                      </c:pt>
                    </c:strCache>
                  </c:strRef>
                </c:cat>
                <c:val>
                  <c:numRef>
                    <c:extLst xmlns:c15="http://schemas.microsoft.com/office/drawing/2012/chart">
                      <c:ext xmlns:c15="http://schemas.microsoft.com/office/drawing/2012/chart" uri="{02D57815-91ED-43cb-92C2-25804820EDAC}">
                        <c15:formulaRef>
                          <c15:sqref>Joonised!$Q$384:$Q$399</c15:sqref>
                        </c15:formulaRef>
                      </c:ext>
                    </c:extLst>
                    <c:numCache>
                      <c:formatCode>0.0</c:formatCode>
                      <c:ptCount val="16"/>
                      <c:pt idx="0">
                        <c:v>0.82297417805320272</c:v>
                      </c:pt>
                      <c:pt idx="1">
                        <c:v>0.75010787232616682</c:v>
                      </c:pt>
                      <c:pt idx="2">
                        <c:v>0.66251983540254245</c:v>
                      </c:pt>
                      <c:pt idx="3">
                        <c:v>0.98711646511453099</c:v>
                      </c:pt>
                      <c:pt idx="4">
                        <c:v>0.96843146093556887</c:v>
                      </c:pt>
                      <c:pt idx="5">
                        <c:v>1.0511359717489963</c:v>
                      </c:pt>
                      <c:pt idx="6">
                        <c:v>0.97593313641245982</c:v>
                      </c:pt>
                      <c:pt idx="7">
                        <c:v>1.0880174764501735</c:v>
                      </c:pt>
                      <c:pt idx="8">
                        <c:v>1.1250378618511199</c:v>
                      </c:pt>
                      <c:pt idx="9">
                        <c:v>1.8763089444224994</c:v>
                      </c:pt>
                      <c:pt idx="10">
                        <c:v>1.5673189823874758</c:v>
                      </c:pt>
                      <c:pt idx="11">
                        <c:v>1.4046268289194082</c:v>
                      </c:pt>
                      <c:pt idx="12">
                        <c:v>1.2831344449289639</c:v>
                      </c:pt>
                      <c:pt idx="13">
                        <c:v>1.1628454674156319</c:v>
                      </c:pt>
                      <c:pt idx="14">
                        <c:v>1.0377993485825801</c:v>
                      </c:pt>
                      <c:pt idx="15">
                        <c:v>0.9650817071075013</c:v>
                      </c:pt>
                    </c:numCache>
                  </c:numRef>
                </c:val>
                <c:extLst xmlns:c15="http://schemas.microsoft.com/office/drawing/2012/chart">
                  <c:ext xmlns:c16="http://schemas.microsoft.com/office/drawing/2014/chart" uri="{C3380CC4-5D6E-409C-BE32-E72D297353CC}">
                    <c16:uniqueId val="{00000012-6303-496D-BDA3-1B2D1F5958C6}"/>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Joonised!$R$378</c15:sqref>
                        </c15:formulaRef>
                      </c:ext>
                    </c:extLst>
                    <c:strCache>
                      <c:ptCount val="1"/>
                      <c:pt idx="0">
                        <c:v>EFSF</c:v>
                      </c:pt>
                    </c:strCache>
                  </c:strRef>
                </c:tx>
                <c:spPr>
                  <a:solidFill>
                    <a:schemeClr val="accent1">
                      <a:lumMod val="80000"/>
                      <a:lumOff val="20000"/>
                    </a:schemeClr>
                  </a:solidFill>
                  <a:ln>
                    <a:noFill/>
                  </a:ln>
                  <a:effectLst/>
                </c:spPr>
                <c:invertIfNegative val="0"/>
                <c:dLbls>
                  <c:dLbl>
                    <c:idx val="3"/>
                    <c:layout>
                      <c:manualLayout>
                        <c:x val="0.24959742351046699"/>
                        <c:y val="-5.2387604775209551E-4"/>
                      </c:manualLayout>
                    </c:layout>
                    <c:tx>
                      <c:rich>
                        <a:bodyPr/>
                        <a:lstStyle/>
                        <a:p>
                          <a:r>
                            <a:rPr lang="en-US"/>
                            <a:t>8,4%</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13-6303-496D-BDA3-1B2D1F5958C6}"/>
                      </c:ext>
                    </c:extLst>
                  </c:dLbl>
                  <c:dLbl>
                    <c:idx val="11"/>
                    <c:layout>
                      <c:manualLayout>
                        <c:x val="8.0515297906602251E-2"/>
                        <c:y val="-5.5514633251488726E-2"/>
                      </c:manualLayout>
                    </c:layout>
                    <c:tx>
                      <c:rich>
                        <a:bodyPr/>
                        <a:lstStyle/>
                        <a:p>
                          <a:r>
                            <a:rPr lang="en-US"/>
                            <a:t>31,3%</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14-6303-496D-BDA3-1B2D1F5958C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Segoe UI Light" panose="020B0502040204020203" pitchFamily="34" charset="0"/>
                          <a:ea typeface="Garamond"/>
                          <a:cs typeface="Segoe UI Light" panose="020B0502040204020203" pitchFamily="34" charset="0"/>
                        </a:defRPr>
                      </a:pPr>
                      <a:endParaRPr lang="et-EE"/>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noFill/>
                            <a:prstDash val="solid"/>
                            <a:round/>
                          </a:ln>
                          <a:effectLst/>
                        </c:spPr>
                      </c15:leaderLines>
                    </c:ext>
                  </c:extLst>
                </c:dLbls>
                <c:cat>
                  <c:strRef>
                    <c:extLst xmlns:c15="http://schemas.microsoft.com/office/drawing/2012/chart">
                      <c:ext xmlns:c15="http://schemas.microsoft.com/office/drawing/2012/chart" uri="{02D57815-91ED-43cb-92C2-25804820EDAC}">
                        <c15:formulaRef>
                          <c15:sqref>Joonised!$K$384:$K$399</c15:sqref>
                        </c15:formulaRef>
                      </c:ext>
                    </c:extLst>
                    <c:strCache>
                      <c:ptCount val="16"/>
                      <c:pt idx="0">
                        <c:v> '11</c:v>
                      </c:pt>
                      <c:pt idx="1">
                        <c:v> '12</c:v>
                      </c:pt>
                      <c:pt idx="2">
                        <c:v> '13</c:v>
                      </c:pt>
                      <c:pt idx="3">
                        <c:v> '14</c:v>
                      </c:pt>
                      <c:pt idx="4">
                        <c:v> '15</c:v>
                      </c:pt>
                      <c:pt idx="5">
                        <c:v> '16</c:v>
                      </c:pt>
                      <c:pt idx="6">
                        <c:v> '17</c:v>
                      </c:pt>
                      <c:pt idx="7">
                        <c:v> '18</c:v>
                      </c:pt>
                      <c:pt idx="8">
                        <c:v> '19</c:v>
                      </c:pt>
                      <c:pt idx="9">
                        <c:v> '20</c:v>
                      </c:pt>
                      <c:pt idx="10">
                        <c:v> '21</c:v>
                      </c:pt>
                      <c:pt idx="11">
                        <c:v> '22</c:v>
                      </c:pt>
                      <c:pt idx="12">
                        <c:v> '23</c:v>
                      </c:pt>
                      <c:pt idx="13">
                        <c:v> '24</c:v>
                      </c:pt>
                      <c:pt idx="14">
                        <c:v> '25</c:v>
                      </c:pt>
                      <c:pt idx="15">
                        <c:v> '26</c:v>
                      </c:pt>
                    </c:strCache>
                  </c:strRef>
                </c:cat>
                <c:val>
                  <c:numRef>
                    <c:extLst xmlns:c15="http://schemas.microsoft.com/office/drawing/2012/chart">
                      <c:ext xmlns:c15="http://schemas.microsoft.com/office/drawing/2012/chart" uri="{02D57815-91ED-43cb-92C2-25804820EDAC}">
                        <c15:formulaRef>
                          <c15:sqref>Joonised!$R$384:$R$399</c15:sqref>
                        </c15:formulaRef>
                      </c:ext>
                    </c:extLst>
                    <c:numCache>
                      <c:formatCode>0.0</c:formatCode>
                      <c:ptCount val="16"/>
                      <c:pt idx="0">
                        <c:v>-8.4254199939593516E-2</c:v>
                      </c:pt>
                      <c:pt idx="1">
                        <c:v>-1.9656371816528204</c:v>
                      </c:pt>
                      <c:pt idx="2">
                        <c:v>-2.4078766326490491</c:v>
                      </c:pt>
                      <c:pt idx="3">
                        <c:v>-2.4017874617735182</c:v>
                      </c:pt>
                      <c:pt idx="4">
                        <c:v>-2.2034481588654136</c:v>
                      </c:pt>
                      <c:pt idx="5">
                        <c:v>-2.0904893759857273</c:v>
                      </c:pt>
                      <c:pt idx="6">
                        <c:v>-1.907548918333781</c:v>
                      </c:pt>
                      <c:pt idx="7">
                        <c:v>-1.7609598839551315</c:v>
                      </c:pt>
                      <c:pt idx="8">
                        <c:v>-1.7398461294370484</c:v>
                      </c:pt>
                      <c:pt idx="9">
                        <c:v>-1.8126101488376944</c:v>
                      </c:pt>
                      <c:pt idx="10">
                        <c:v>-1.6028663698630139</c:v>
                      </c:pt>
                      <c:pt idx="11">
                        <c:v>-1.5017612798818731</c:v>
                      </c:pt>
                      <c:pt idx="12">
                        <c:v>-1.2878827500850489</c:v>
                      </c:pt>
                      <c:pt idx="13">
                        <c:v>-1.1856398609528087</c:v>
                      </c:pt>
                      <c:pt idx="14">
                        <c:v>-1.0924579241162005</c:v>
                      </c:pt>
                      <c:pt idx="15">
                        <c:v>-1.0403145896463184</c:v>
                      </c:pt>
                    </c:numCache>
                  </c:numRef>
                </c:val>
                <c:extLst xmlns:c15="http://schemas.microsoft.com/office/drawing/2012/chart">
                  <c:ext xmlns:c16="http://schemas.microsoft.com/office/drawing/2014/chart" uri="{C3380CC4-5D6E-409C-BE32-E72D297353CC}">
                    <c16:uniqueId val="{00000015-6303-496D-BDA3-1B2D1F5958C6}"/>
                  </c:ext>
                </c:extLst>
              </c15:ser>
            </c15:filteredBarSeries>
          </c:ext>
        </c:extLst>
      </c:barChart>
      <c:lineChart>
        <c:grouping val="standard"/>
        <c:varyColors val="0"/>
        <c:ser>
          <c:idx val="0"/>
          <c:order val="0"/>
          <c:tx>
            <c:strRef>
              <c:f>Joonised!$L$378</c:f>
              <c:strCache>
                <c:ptCount val="1"/>
                <c:pt idx="0">
                  <c:v>Netovarad(+)/-võlg(-)</c:v>
                </c:pt>
              </c:strCache>
            </c:strRef>
          </c:tx>
          <c:spPr>
            <a:ln w="28575" cap="rnd" cmpd="sng" algn="ctr">
              <a:solidFill>
                <a:schemeClr val="accent1">
                  <a:shade val="95000"/>
                  <a:satMod val="105000"/>
                </a:schemeClr>
              </a:solidFill>
              <a:prstDash val="solid"/>
              <a:round/>
            </a:ln>
            <a:effectLst/>
          </c:spPr>
          <c:marker>
            <c:symbol val="circle"/>
            <c:size val="5"/>
            <c:spPr>
              <a:solidFill>
                <a:schemeClr val="accent1"/>
              </a:solidFill>
              <a:ln w="9525" cap="flat" cmpd="sng" algn="ctr">
                <a:solidFill>
                  <a:schemeClr val="accent1">
                    <a:shade val="95000"/>
                    <a:satMod val="105000"/>
                  </a:schemeClr>
                </a:solidFill>
                <a:prstDash val="solid"/>
                <a:round/>
              </a:ln>
              <a:effectLst/>
            </c:spPr>
          </c:marker>
          <c:dLbls>
            <c:dLbl>
              <c:idx val="10"/>
              <c:layout>
                <c:manualLayout>
                  <c:x val="-1.4699741857486138E-2"/>
                  <c:y val="-4.2990660532881128E-2"/>
                </c:manualLayout>
              </c:layout>
              <c:tx>
                <c:rich>
                  <a:bodyPr/>
                  <a:lstStyle/>
                  <a:p>
                    <a:fld id="{609BE08D-1CDE-4A48-917D-8852282062F7}" type="VALUE">
                      <a:rPr lang="en-US"/>
                      <a:pPr/>
                      <a:t>[VÄÄRTUS]</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303-496D-BDA3-1B2D1F5958C6}"/>
                </c:ext>
              </c:extLst>
            </c:dLbl>
            <c:dLbl>
              <c:idx val="11"/>
              <c:layout>
                <c:manualLayout>
                  <c:x val="-3.6264732547597461E-2"/>
                  <c:y val="-2.3883700296045092E-2"/>
                </c:manualLayout>
              </c:layout>
              <c:tx>
                <c:rich>
                  <a:bodyPr/>
                  <a:lstStyle/>
                  <a:p>
                    <a:fld id="{32EF66BC-4AA5-4BDC-9B1F-8395B2C2FE2B}" type="VALUE">
                      <a:rPr lang="en-US"/>
                      <a:pPr/>
                      <a:t>[VÄÄRTUS]</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303-496D-BDA3-1B2D1F5958C6}"/>
                </c:ext>
              </c:extLst>
            </c:dLbl>
            <c:dLbl>
              <c:idx val="15"/>
              <c:tx>
                <c:rich>
                  <a:bodyPr/>
                  <a:lstStyle/>
                  <a:p>
                    <a:fld id="{AF032B54-C2B5-4069-A482-F41F3641058D}" type="VALUE">
                      <a:rPr lang="en-US"/>
                      <a:pPr/>
                      <a:t>[VÄÄRTUS]</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303-496D-BDA3-1B2D1F5958C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Segoe UI Light" panose="020B0502040204020203" pitchFamily="34" charset="0"/>
                    <a:ea typeface="Garamond"/>
                    <a:cs typeface="Segoe UI Light" panose="020B0502040204020203" pitchFamily="34" charset="0"/>
                  </a:defRPr>
                </a:pPr>
                <a:endParaRPr lang="et-E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noFill/>
                      <a:prstDash val="solid"/>
                      <a:round/>
                    </a:ln>
                    <a:effectLst/>
                  </c:spPr>
                </c15:leaderLines>
              </c:ext>
            </c:extLst>
          </c:dLbls>
          <c:cat>
            <c:strRef>
              <c:f>Joonised!$K$384:$K$399</c:f>
              <c:strCache>
                <c:ptCount val="16"/>
                <c:pt idx="0">
                  <c:v> '11</c:v>
                </c:pt>
                <c:pt idx="1">
                  <c:v> '12</c:v>
                </c:pt>
                <c:pt idx="2">
                  <c:v> '13</c:v>
                </c:pt>
                <c:pt idx="3">
                  <c:v> '14</c:v>
                </c:pt>
                <c:pt idx="4">
                  <c:v> '15</c:v>
                </c:pt>
                <c:pt idx="5">
                  <c:v> '16</c:v>
                </c:pt>
                <c:pt idx="6">
                  <c:v> '17</c:v>
                </c:pt>
                <c:pt idx="7">
                  <c:v> '18</c:v>
                </c:pt>
                <c:pt idx="8">
                  <c:v> '19</c:v>
                </c:pt>
                <c:pt idx="9">
                  <c:v> '20</c:v>
                </c:pt>
                <c:pt idx="10">
                  <c:v> '21</c:v>
                </c:pt>
                <c:pt idx="11">
                  <c:v> '22</c:v>
                </c:pt>
                <c:pt idx="12">
                  <c:v> '23</c:v>
                </c:pt>
                <c:pt idx="13">
                  <c:v> '24</c:v>
                </c:pt>
                <c:pt idx="14">
                  <c:v> '25</c:v>
                </c:pt>
                <c:pt idx="15">
                  <c:v> '26</c:v>
                </c:pt>
              </c:strCache>
              <c:extLst/>
            </c:strRef>
          </c:cat>
          <c:val>
            <c:numRef>
              <c:f>Joonised!$L$384:$L$399</c:f>
              <c:numCache>
                <c:formatCode>0.0</c:formatCode>
                <c:ptCount val="16"/>
                <c:pt idx="0">
                  <c:v>3.3774622585230345</c:v>
                </c:pt>
                <c:pt idx="1">
                  <c:v>-0.2199356169228146</c:v>
                </c:pt>
                <c:pt idx="2">
                  <c:v>-0.96882361338801459</c:v>
                </c:pt>
                <c:pt idx="3">
                  <c:v>7.8295382273138259E-2</c:v>
                </c:pt>
                <c:pt idx="4">
                  <c:v>-1.4734893099319937</c:v>
                </c:pt>
                <c:pt idx="5">
                  <c:v>-1.5242851033892926</c:v>
                </c:pt>
                <c:pt idx="6">
                  <c:v>-1.3938305585392037</c:v>
                </c:pt>
                <c:pt idx="7">
                  <c:v>-1.1980199553792765</c:v>
                </c:pt>
                <c:pt idx="8">
                  <c:v>-0.48318933810272569</c:v>
                </c:pt>
                <c:pt idx="9">
                  <c:v>-6.69061584670537</c:v>
                </c:pt>
                <c:pt idx="10">
                  <c:v>-7.6652620984548268</c:v>
                </c:pt>
                <c:pt idx="11">
                  <c:v>-11.501153549636555</c:v>
                </c:pt>
                <c:pt idx="12">
                  <c:v>-14.407007887615679</c:v>
                </c:pt>
                <c:pt idx="13">
                  <c:v>-17.787780796264023</c:v>
                </c:pt>
                <c:pt idx="14">
                  <c:v>-19.457031860973228</c:v>
                </c:pt>
                <c:pt idx="15">
                  <c:v>-20.347984229145148</c:v>
                </c:pt>
              </c:numCache>
              <c:extLst/>
            </c:numRef>
          </c:val>
          <c:smooth val="0"/>
          <c:extLst>
            <c:ext xmlns:c16="http://schemas.microsoft.com/office/drawing/2014/chart" uri="{C3380CC4-5D6E-409C-BE32-E72D297353CC}">
              <c16:uniqueId val="{0000000B-6303-496D-BDA3-1B2D1F5958C6}"/>
            </c:ext>
          </c:extLst>
        </c:ser>
        <c:dLbls>
          <c:showLegendKey val="0"/>
          <c:showVal val="0"/>
          <c:showCatName val="0"/>
          <c:showSerName val="0"/>
          <c:showPercent val="0"/>
          <c:showBubbleSize val="0"/>
        </c:dLbls>
        <c:marker val="1"/>
        <c:smooth val="0"/>
        <c:axId val="434085512"/>
        <c:axId val="434085904"/>
      </c:lineChart>
      <c:catAx>
        <c:axId val="434085512"/>
        <c:scaling>
          <c:orientation val="minMax"/>
        </c:scaling>
        <c:delete val="0"/>
        <c:axPos val="b"/>
        <c:title>
          <c:tx>
            <c:rich>
              <a:bodyPr rot="-5400000" spcFirstLastPara="1" vertOverflow="ellipsis" wrap="square" anchor="ctr" anchorCtr="1"/>
              <a:lstStyle/>
              <a:p>
                <a:pPr>
                  <a:defRPr sz="800" b="0" i="0" u="none" strike="noStrike" kern="1200" baseline="0">
                    <a:solidFill>
                      <a:srgbClr val="000000"/>
                    </a:solidFill>
                    <a:latin typeface="Segoe UI Light" panose="020B0502040204020203" pitchFamily="34" charset="0"/>
                    <a:ea typeface="Garamond"/>
                    <a:cs typeface="Segoe UI Light" panose="020B0502040204020203" pitchFamily="34" charset="0"/>
                  </a:defRPr>
                </a:pPr>
                <a:r>
                  <a:rPr lang="et-EE" sz="800"/>
                  <a:t>Võlg</a:t>
                </a:r>
              </a:p>
            </c:rich>
          </c:tx>
          <c:layout>
            <c:manualLayout>
              <c:xMode val="edge"/>
              <c:yMode val="edge"/>
              <c:x val="0"/>
              <c:y val="0.49426824440241052"/>
            </c:manualLayout>
          </c:layout>
          <c:overlay val="0"/>
          <c:spPr>
            <a:noFill/>
            <a:ln>
              <a:noFill/>
            </a:ln>
            <a:effectLst/>
          </c:spPr>
          <c:txPr>
            <a:bodyPr rot="-5400000" spcFirstLastPara="1" vertOverflow="ellipsis" wrap="square" anchor="ctr" anchorCtr="1"/>
            <a:lstStyle/>
            <a:p>
              <a:pPr>
                <a:defRPr sz="800" b="0" i="0" u="none" strike="noStrike" kern="1200" baseline="0">
                  <a:solidFill>
                    <a:srgbClr val="000000"/>
                  </a:solidFill>
                  <a:latin typeface="Segoe UI Light" panose="020B0502040204020203" pitchFamily="34" charset="0"/>
                  <a:ea typeface="Garamond"/>
                  <a:cs typeface="Segoe UI Light" panose="020B0502040204020203" pitchFamily="34" charset="0"/>
                </a:defRPr>
              </a:pPr>
              <a:endParaRPr lang="et-EE"/>
            </a:p>
          </c:txPr>
        </c:title>
        <c:numFmt formatCode="General" sourceLinked="1"/>
        <c:majorTickMark val="out"/>
        <c:minorTickMark val="none"/>
        <c:tickLblPos val="low"/>
        <c:spPr>
          <a:noFill/>
          <a:ln w="2570" cap="flat" cmpd="sng" algn="ctr">
            <a:solidFill>
              <a:srgbClr val="000000"/>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Segoe UI Light" panose="020B0502040204020203" pitchFamily="34" charset="0"/>
                <a:ea typeface="Garamond"/>
                <a:cs typeface="Segoe UI Light" panose="020B0502040204020203" pitchFamily="34" charset="0"/>
              </a:defRPr>
            </a:pPr>
            <a:endParaRPr lang="et-EE"/>
          </a:p>
        </c:txPr>
        <c:crossAx val="434085904"/>
        <c:crosses val="autoZero"/>
        <c:auto val="1"/>
        <c:lblAlgn val="ctr"/>
        <c:lblOffset val="100"/>
        <c:noMultiLvlLbl val="0"/>
      </c:catAx>
      <c:valAx>
        <c:axId val="434085904"/>
        <c:scaling>
          <c:orientation val="minMax"/>
          <c:max val="17"/>
          <c:min val="-32"/>
        </c:scaling>
        <c:delete val="0"/>
        <c:axPos val="l"/>
        <c:majorGridlines>
          <c:spPr>
            <a:ln w="2570" cap="flat" cmpd="sng" algn="ctr">
              <a:solidFill>
                <a:schemeClr val="bg1">
                  <a:lumMod val="50000"/>
                  <a:alpha val="50000"/>
                </a:schemeClr>
              </a:solidFill>
              <a:prstDash val="dash"/>
              <a:round/>
            </a:ln>
            <a:effectLst/>
          </c:spPr>
        </c:majorGridlines>
        <c:title>
          <c:tx>
            <c:rich>
              <a:bodyPr rot="-5400000" spcFirstLastPara="1" vertOverflow="ellipsis" vert="horz" wrap="square" anchor="ctr" anchorCtr="1"/>
              <a:lstStyle/>
              <a:p>
                <a:pPr>
                  <a:defRPr sz="800" b="0" i="0" u="none" strike="noStrike" kern="1200" baseline="0">
                    <a:solidFill>
                      <a:srgbClr val="000000"/>
                    </a:solidFill>
                    <a:latin typeface="Segoe UI Light" panose="020B0502040204020203" pitchFamily="34" charset="0"/>
                    <a:ea typeface="Garamond"/>
                    <a:cs typeface="Segoe UI Light" panose="020B0502040204020203" pitchFamily="34" charset="0"/>
                  </a:defRPr>
                </a:pPr>
                <a:r>
                  <a:rPr lang="et-EE" sz="800"/>
                  <a:t>Reservid</a:t>
                </a:r>
              </a:p>
            </c:rich>
          </c:tx>
          <c:layout>
            <c:manualLayout>
              <c:xMode val="edge"/>
              <c:yMode val="edge"/>
              <c:x val="4.0355125100887809E-3"/>
              <c:y val="0.1380737190459886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Segoe UI Light" panose="020B0502040204020203" pitchFamily="34" charset="0"/>
                  <a:ea typeface="Garamond"/>
                  <a:cs typeface="Segoe UI Light" panose="020B0502040204020203" pitchFamily="34" charset="0"/>
                </a:defRPr>
              </a:pPr>
              <a:endParaRPr lang="et-EE"/>
            </a:p>
          </c:txPr>
        </c:title>
        <c:numFmt formatCode="0" sourceLinked="0"/>
        <c:majorTickMark val="in"/>
        <c:minorTickMark val="none"/>
        <c:tickLblPos val="nextTo"/>
        <c:spPr>
          <a:noFill/>
          <a:ln w="2570" cap="flat" cmpd="sng" algn="ctr">
            <a:solidFill>
              <a:srgbClr val="000000"/>
            </a:solidFill>
            <a:prstDash val="sysDash"/>
            <a:round/>
          </a:ln>
          <a:effectLst/>
        </c:spPr>
        <c:txPr>
          <a:bodyPr rot="0" spcFirstLastPara="1" vertOverflow="ellipsis" wrap="square" anchor="ctr" anchorCtr="1"/>
          <a:lstStyle/>
          <a:p>
            <a:pPr>
              <a:defRPr sz="833" b="0" i="0" u="none" strike="noStrike" kern="1200" baseline="0">
                <a:solidFill>
                  <a:srgbClr val="000000"/>
                </a:solidFill>
                <a:latin typeface="Segoe UI Light" panose="020B0502040204020203" pitchFamily="34" charset="0"/>
                <a:ea typeface="Garamond"/>
                <a:cs typeface="Segoe UI Light" panose="020B0502040204020203" pitchFamily="34" charset="0"/>
              </a:defRPr>
            </a:pPr>
            <a:endParaRPr lang="et-EE"/>
          </a:p>
        </c:txPr>
        <c:crossAx val="434085512"/>
        <c:crosses val="autoZero"/>
        <c:crossBetween val="between"/>
        <c:majorUnit val="4"/>
        <c:minorUnit val="2"/>
      </c:valAx>
      <c:spPr>
        <a:solidFill>
          <a:schemeClr val="bg1"/>
        </a:solidFill>
        <a:ln>
          <a:noFill/>
        </a:ln>
        <a:effectLst/>
      </c:spPr>
    </c:plotArea>
    <c:legend>
      <c:legendPos val="b"/>
      <c:layout>
        <c:manualLayout>
          <c:xMode val="edge"/>
          <c:yMode val="edge"/>
          <c:x val="9.191269105160213E-2"/>
          <c:y val="0.85400364160608289"/>
          <c:w val="0.82140899064007666"/>
          <c:h val="7.9000134275291428E-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Segoe UI Light" panose="020B0502040204020203" pitchFamily="34" charset="0"/>
              <a:ea typeface="Garamond"/>
              <a:cs typeface="Segoe UI Light" panose="020B0502040204020203" pitchFamily="34" charset="0"/>
            </a:defRPr>
          </a:pPr>
          <a:endParaRPr lang="et-EE"/>
        </a:p>
      </c:txPr>
    </c:legend>
    <c:plotVisOnly val="1"/>
    <c:dispBlanksAs val="gap"/>
    <c:showDLblsOverMax val="0"/>
  </c:chart>
  <c:spPr>
    <a:noFill/>
    <a:ln w="9525" cap="flat" cmpd="sng" algn="ctr">
      <a:noFill/>
      <a:prstDash val="solid"/>
      <a:round/>
    </a:ln>
    <a:effectLst/>
  </c:spPr>
  <c:txPr>
    <a:bodyPr/>
    <a:lstStyle/>
    <a:p>
      <a:pPr>
        <a:defRPr sz="833" b="0" i="0" u="none" strike="noStrike" baseline="0">
          <a:solidFill>
            <a:srgbClr val="000000"/>
          </a:solidFill>
          <a:latin typeface="Segoe UI Light" panose="020B0502040204020203" pitchFamily="34" charset="0"/>
          <a:ea typeface="Garamond"/>
          <a:cs typeface="Segoe UI Light" panose="020B0502040204020203" pitchFamily="34" charset="0"/>
        </a:defRPr>
      </a:pPr>
      <a:endParaRPr lang="et-E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923076923076927E-2"/>
          <c:y val="6.25E-2"/>
          <c:w val="0.90854820792629121"/>
          <c:h val="0.67556817475491548"/>
        </c:manualLayout>
      </c:layout>
      <c:barChart>
        <c:barDir val="col"/>
        <c:grouping val="stacked"/>
        <c:varyColors val="0"/>
        <c:ser>
          <c:idx val="1"/>
          <c:order val="0"/>
          <c:tx>
            <c:strRef>
              <c:f>Joonised!$L$353</c:f>
              <c:strCache>
                <c:ptCount val="1"/>
                <c:pt idx="0">
                  <c:v>Võla tagasimaksed (mln eur)</c:v>
                </c:pt>
              </c:strCache>
            </c:strRef>
          </c:tx>
          <c:spPr>
            <a:solidFill>
              <a:schemeClr val="accent1">
                <a:lumMod val="75000"/>
              </a:schemeClr>
            </a:solidFill>
            <a:ln w="31750">
              <a:noFill/>
              <a:prstDash val="solid"/>
            </a:ln>
          </c:spPr>
          <c:invertIfNegative val="0"/>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88-4FA7-A975-7F6004AF732A}"/>
                </c:ext>
              </c:extLst>
            </c:dLbl>
            <c:dLbl>
              <c:idx val="8"/>
              <c:layout>
                <c:manualLayout>
                  <c:x val="0"/>
                  <c:y val="-0.14554630446152142"/>
                </c:manualLayout>
              </c:layout>
              <c:spPr>
                <a:noFill/>
                <a:ln>
                  <a:noFill/>
                </a:ln>
                <a:effectLst/>
              </c:spPr>
              <c:txPr>
                <a:bodyPr wrap="square" lIns="38100" tIns="19050" rIns="38100" bIns="19050" anchor="ctr">
                  <a:spAutoFit/>
                </a:bodyPr>
                <a:lstStyle/>
                <a:p>
                  <a:pPr>
                    <a:defRPr sz="800">
                      <a:ln>
                        <a:noFill/>
                      </a:ln>
                      <a:latin typeface="Segoe UI Light" panose="020B0502040204020203" pitchFamily="34" charset="0"/>
                      <a:ea typeface="Segoe UI" panose="020B0502040204020203" pitchFamily="34" charset="0"/>
                      <a:cs typeface="Segoe UI" panose="020B0502040204020203" pitchFamily="34" charset="0"/>
                    </a:defRPr>
                  </a:pPr>
                  <a:endParaRPr lang="et-EE"/>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88-4FA7-A975-7F6004AF732A}"/>
                </c:ext>
              </c:extLst>
            </c:dLbl>
            <c:dLbl>
              <c:idx val="15"/>
              <c:layout>
                <c:manualLayout>
                  <c:x val="0"/>
                  <c:y val="-0.135025258380729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88-4FA7-A975-7F6004AF732A}"/>
                </c:ext>
              </c:extLst>
            </c:dLbl>
            <c:dLbl>
              <c:idx val="16"/>
              <c:layout>
                <c:manualLayout>
                  <c:x val="0"/>
                  <c:y val="-0.3789074834227989"/>
                </c:manualLayout>
              </c:layout>
              <c:tx>
                <c:rich>
                  <a:bodyPr/>
                  <a:lstStyle/>
                  <a:p>
                    <a:r>
                      <a:rPr lang="en-US"/>
                      <a:t>172,4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A88-4FA7-A975-7F6004AF732A}"/>
                </c:ext>
              </c:extLst>
            </c:dLbl>
            <c:spPr>
              <a:noFill/>
              <a:ln>
                <a:noFill/>
              </a:ln>
              <a:effectLst/>
            </c:spPr>
            <c:txPr>
              <a:bodyPr wrap="square" lIns="38100" tIns="19050" rIns="38100" bIns="19050" anchor="ctr">
                <a:spAutoFit/>
              </a:bodyPr>
              <a:lstStyle/>
              <a:p>
                <a:pPr>
                  <a:defRPr sz="800">
                    <a:latin typeface="Segoe UI Light" panose="020B0502040204020203" pitchFamily="34" charset="0"/>
                    <a:ea typeface="Segoe UI" panose="020B0502040204020203" pitchFamily="34" charset="0"/>
                    <a:cs typeface="Segoe UI" panose="020B0502040204020203" pitchFamily="34" charset="0"/>
                  </a:defRPr>
                </a:pPr>
                <a:endParaRPr lang="et-EE"/>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Joonised!$K$368:$K$376</c:f>
              <c:strCache>
                <c:ptCount val="9"/>
                <c:pt idx="0">
                  <c:v> '18</c:v>
                </c:pt>
                <c:pt idx="1">
                  <c:v> '19</c:v>
                </c:pt>
                <c:pt idx="2">
                  <c:v> '20</c:v>
                </c:pt>
                <c:pt idx="3">
                  <c:v> '21</c:v>
                </c:pt>
                <c:pt idx="4">
                  <c:v> '22</c:v>
                </c:pt>
                <c:pt idx="5">
                  <c:v> '23</c:v>
                </c:pt>
                <c:pt idx="6">
                  <c:v> '24</c:v>
                </c:pt>
                <c:pt idx="7">
                  <c:v> '25</c:v>
                </c:pt>
                <c:pt idx="8">
                  <c:v> '26</c:v>
                </c:pt>
              </c:strCache>
            </c:strRef>
          </c:cat>
          <c:val>
            <c:numRef>
              <c:f>Joonised!$L$368:$L$376</c:f>
              <c:numCache>
                <c:formatCode>0.0</c:formatCode>
                <c:ptCount val="9"/>
                <c:pt idx="0">
                  <c:v>17.368421000000001</c:v>
                </c:pt>
                <c:pt idx="1">
                  <c:v>172.36842100000001</c:v>
                </c:pt>
                <c:pt idx="2">
                  <c:v>322</c:v>
                </c:pt>
                <c:pt idx="3">
                  <c:v>497.36842100000001</c:v>
                </c:pt>
                <c:pt idx="4">
                  <c:v>472.36842100000001</c:v>
                </c:pt>
                <c:pt idx="5">
                  <c:v>318</c:v>
                </c:pt>
                <c:pt idx="6">
                  <c:v>318</c:v>
                </c:pt>
                <c:pt idx="7">
                  <c:v>560</c:v>
                </c:pt>
                <c:pt idx="8">
                  <c:v>496</c:v>
                </c:pt>
              </c:numCache>
            </c:numRef>
          </c:val>
          <c:extLst>
            <c:ext xmlns:c16="http://schemas.microsoft.com/office/drawing/2014/chart" uri="{C3380CC4-5D6E-409C-BE32-E72D297353CC}">
              <c16:uniqueId val="{00000004-3A88-4FA7-A975-7F6004AF732A}"/>
            </c:ext>
          </c:extLst>
        </c:ser>
        <c:dLbls>
          <c:showLegendKey val="0"/>
          <c:showVal val="0"/>
          <c:showCatName val="0"/>
          <c:showSerName val="0"/>
          <c:showPercent val="0"/>
          <c:showBubbleSize val="0"/>
        </c:dLbls>
        <c:gapWidth val="0"/>
        <c:overlap val="100"/>
        <c:axId val="434084336"/>
        <c:axId val="434084728"/>
        <c:extLst/>
      </c:barChart>
      <c:catAx>
        <c:axId val="434084336"/>
        <c:scaling>
          <c:orientation val="minMax"/>
        </c:scaling>
        <c:delete val="0"/>
        <c:axPos val="b"/>
        <c:numFmt formatCode="General" sourceLinked="1"/>
        <c:majorTickMark val="out"/>
        <c:minorTickMark val="none"/>
        <c:tickLblPos val="low"/>
        <c:spPr>
          <a:ln w="2570">
            <a:solidFill>
              <a:srgbClr val="000000"/>
            </a:solidFill>
            <a:prstDash val="solid"/>
          </a:ln>
        </c:spPr>
        <c:txPr>
          <a:bodyPr rot="0" vert="horz"/>
          <a:lstStyle/>
          <a:p>
            <a:pPr>
              <a:defRPr sz="800">
                <a:latin typeface="Segoe UI Light" panose="020B0502040204020203" pitchFamily="34" charset="0"/>
                <a:ea typeface="Segoe UI" panose="020B0502040204020203" pitchFamily="34" charset="0"/>
                <a:cs typeface="Segoe UI" panose="020B0502040204020203" pitchFamily="34" charset="0"/>
              </a:defRPr>
            </a:pPr>
            <a:endParaRPr lang="et-EE"/>
          </a:p>
        </c:txPr>
        <c:crossAx val="434084728"/>
        <c:crosses val="autoZero"/>
        <c:auto val="1"/>
        <c:lblAlgn val="ctr"/>
        <c:lblOffset val="100"/>
        <c:tickLblSkip val="1"/>
        <c:noMultiLvlLbl val="0"/>
      </c:catAx>
      <c:valAx>
        <c:axId val="434084728"/>
        <c:scaling>
          <c:orientation val="minMax"/>
          <c:max val="600"/>
          <c:min val="0"/>
        </c:scaling>
        <c:delete val="0"/>
        <c:axPos val="l"/>
        <c:majorGridlines>
          <c:spPr>
            <a:ln w="2570">
              <a:solidFill>
                <a:schemeClr val="bg1">
                  <a:lumMod val="50000"/>
                  <a:alpha val="50000"/>
                </a:schemeClr>
              </a:solidFill>
              <a:prstDash val="dash"/>
            </a:ln>
          </c:spPr>
        </c:majorGridlines>
        <c:numFmt formatCode="0" sourceLinked="0"/>
        <c:majorTickMark val="in"/>
        <c:minorTickMark val="none"/>
        <c:tickLblPos val="nextTo"/>
        <c:spPr>
          <a:ln w="3175">
            <a:solidFill>
              <a:schemeClr val="tx1"/>
            </a:solidFill>
            <a:prstDash val="solid"/>
          </a:ln>
        </c:spPr>
        <c:txPr>
          <a:bodyPr rot="0" vert="horz"/>
          <a:lstStyle/>
          <a:p>
            <a:pPr>
              <a:defRPr sz="800">
                <a:latin typeface="Segoe UI Light" panose="020B0502040204020203" pitchFamily="34" charset="0"/>
                <a:ea typeface="Segoe UI" panose="020B0502040204020203" pitchFamily="34" charset="0"/>
                <a:cs typeface="Segoe UI" panose="020B0502040204020203" pitchFamily="34" charset="0"/>
              </a:defRPr>
            </a:pPr>
            <a:endParaRPr lang="et-EE"/>
          </a:p>
        </c:txPr>
        <c:crossAx val="434084336"/>
        <c:crosses val="autoZero"/>
        <c:crossBetween val="between"/>
        <c:majorUnit val="100"/>
        <c:minorUnit val="10"/>
      </c:valAx>
      <c:spPr>
        <a:ln>
          <a:noFill/>
        </a:ln>
      </c:spPr>
    </c:plotArea>
    <c:legend>
      <c:legendPos val="b"/>
      <c:layout>
        <c:manualLayout>
          <c:xMode val="edge"/>
          <c:yMode val="edge"/>
          <c:x val="1.8676597544512324E-2"/>
          <c:y val="0.82187930347829474"/>
          <c:w val="0.96254598969830762"/>
          <c:h val="0.17498980360544544"/>
        </c:manualLayout>
      </c:layout>
      <c:overlay val="0"/>
      <c:txPr>
        <a:bodyPr/>
        <a:lstStyle/>
        <a:p>
          <a:pPr>
            <a:defRPr sz="800">
              <a:latin typeface="Segoe UI Light" panose="020B0502040204020203" pitchFamily="34" charset="0"/>
              <a:ea typeface="Segoe UI" panose="020B0502040204020203" pitchFamily="34" charset="0"/>
              <a:cs typeface="Segoe UI" panose="020B0502040204020203" pitchFamily="34" charset="0"/>
            </a:defRPr>
          </a:pPr>
          <a:endParaRPr lang="et-EE"/>
        </a:p>
      </c:txPr>
    </c:legend>
    <c:plotVisOnly val="1"/>
    <c:dispBlanksAs val="gap"/>
    <c:showDLblsOverMax val="0"/>
  </c:chart>
  <c:spPr>
    <a:noFill/>
    <a:ln>
      <a:noFill/>
    </a:ln>
  </c:spPr>
  <c:txPr>
    <a:bodyPr/>
    <a:lstStyle/>
    <a:p>
      <a:pPr>
        <a:defRPr sz="833" b="0" i="0" u="none" strike="noStrike" baseline="0">
          <a:solidFill>
            <a:srgbClr val="000000"/>
          </a:solidFill>
          <a:latin typeface="Georgia" panose="02040502050405020303" pitchFamily="18" charset="0"/>
          <a:ea typeface="Garamond"/>
          <a:cs typeface="Garamond"/>
        </a:defRPr>
      </a:pPr>
      <a:endParaRPr lang="et-EE"/>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923076923076927E-2"/>
          <c:y val="6.25E-2"/>
          <c:w val="0.90854820792629121"/>
          <c:h val="0.65647965879265091"/>
        </c:manualLayout>
      </c:layout>
      <c:barChart>
        <c:barDir val="col"/>
        <c:grouping val="stacked"/>
        <c:varyColors val="0"/>
        <c:dLbls>
          <c:showLegendKey val="0"/>
          <c:showVal val="0"/>
          <c:showCatName val="0"/>
          <c:showSerName val="0"/>
          <c:showPercent val="0"/>
          <c:showBubbleSize val="0"/>
        </c:dLbls>
        <c:gapWidth val="150"/>
        <c:overlap val="100"/>
        <c:axId val="205761016"/>
        <c:axId val="205760232"/>
        <c:extLst>
          <c:ext xmlns:c15="http://schemas.microsoft.com/office/drawing/2012/chart" uri="{02D57815-91ED-43cb-92C2-25804820EDAC}">
            <c15:filteredBarSeries>
              <c15:ser>
                <c:idx val="2"/>
                <c:order val="2"/>
                <c:tx>
                  <c:strRef>
                    <c:extLst>
                      <c:ext uri="{02D57815-91ED-43cb-92C2-25804820EDAC}">
                        <c15:formulaRef>
                          <c15:sqref>Joonised!$N$182</c15:sqref>
                        </c15:formulaRef>
                      </c:ext>
                    </c:extLst>
                    <c:strCache>
                      <c:ptCount val="1"/>
                      <c:pt idx="0">
                        <c:v>Erinevus</c:v>
                      </c:pt>
                    </c:strCache>
                  </c:strRef>
                </c:tx>
                <c:spPr>
                  <a:solidFill>
                    <a:schemeClr val="accent2"/>
                  </a:solidFill>
                </c:spPr>
                <c:invertIfNegative val="0"/>
                <c:cat>
                  <c:strRef>
                    <c:extLst>
                      <c:ext uri="{02D57815-91ED-43cb-92C2-25804820EDAC}">
                        <c15:formulaRef>
                          <c15:sqref>Joonised!$K$183:$K$186</c15:sqref>
                        </c15:formulaRef>
                      </c:ext>
                    </c:extLst>
                    <c:strCache>
                      <c:ptCount val="4"/>
                      <c:pt idx="0">
                        <c:v> '21</c:v>
                      </c:pt>
                      <c:pt idx="1">
                        <c:v> '22</c:v>
                      </c:pt>
                      <c:pt idx="2">
                        <c:v> '23</c:v>
                      </c:pt>
                      <c:pt idx="3">
                        <c:v> '24</c:v>
                      </c:pt>
                    </c:strCache>
                  </c:strRef>
                </c:cat>
                <c:val>
                  <c:numRef>
                    <c:extLst>
                      <c:ext uri="{02D57815-91ED-43cb-92C2-25804820EDAC}">
                        <c15:formulaRef>
                          <c15:sqref>Joonised!$N$183:$N$186</c15:sqref>
                        </c15:formulaRef>
                      </c:ext>
                    </c:extLst>
                    <c:numCache>
                      <c:formatCode>0.0</c:formatCode>
                      <c:ptCount val="4"/>
                      <c:pt idx="0">
                        <c:v>0</c:v>
                      </c:pt>
                      <c:pt idx="1">
                        <c:v>2.4</c:v>
                      </c:pt>
                      <c:pt idx="2">
                        <c:v>0.5</c:v>
                      </c:pt>
                      <c:pt idx="3">
                        <c:v>0.29999999999999982</c:v>
                      </c:pt>
                    </c:numCache>
                  </c:numRef>
                </c:val>
                <c:extLst>
                  <c:ext xmlns:c16="http://schemas.microsoft.com/office/drawing/2014/chart" uri="{C3380CC4-5D6E-409C-BE32-E72D297353CC}">
                    <c16:uniqueId val="{00000002-661A-4104-9383-A6EA38C30C88}"/>
                  </c:ext>
                </c:extLst>
              </c15:ser>
            </c15:filteredBarSeries>
          </c:ext>
        </c:extLst>
      </c:barChart>
      <c:lineChart>
        <c:grouping val="standard"/>
        <c:varyColors val="0"/>
        <c:ser>
          <c:idx val="0"/>
          <c:order val="0"/>
          <c:tx>
            <c:strRef>
              <c:f>Joonised!$L$182</c:f>
              <c:strCache>
                <c:ptCount val="1"/>
                <c:pt idx="0">
                  <c:v>Riskistsenaarium</c:v>
                </c:pt>
              </c:strCache>
            </c:strRef>
          </c:tx>
          <c:spPr>
            <a:ln>
              <a:solidFill>
                <a:schemeClr val="accent2"/>
              </a:solidFill>
            </a:ln>
          </c:spPr>
          <c:marker>
            <c:spPr>
              <a:solidFill>
                <a:schemeClr val="accent2"/>
              </a:solidFill>
              <a:ln>
                <a:solidFill>
                  <a:schemeClr val="accent2"/>
                </a:solidFill>
              </a:ln>
            </c:spPr>
          </c:marker>
          <c:cat>
            <c:strRef>
              <c:f>Joonised!$K$183:$K$186</c:f>
              <c:strCache>
                <c:ptCount val="4"/>
                <c:pt idx="0">
                  <c:v> '21</c:v>
                </c:pt>
                <c:pt idx="1">
                  <c:v> '22</c:v>
                </c:pt>
                <c:pt idx="2">
                  <c:v> '23</c:v>
                </c:pt>
                <c:pt idx="3">
                  <c:v> '24</c:v>
                </c:pt>
              </c:strCache>
            </c:strRef>
          </c:cat>
          <c:val>
            <c:numRef>
              <c:f>Joonised!$L$183:$L$186</c:f>
              <c:numCache>
                <c:formatCode>0.0</c:formatCode>
                <c:ptCount val="4"/>
                <c:pt idx="0">
                  <c:v>8.3496932774350885</c:v>
                </c:pt>
                <c:pt idx="1">
                  <c:v>1.3688815947945576</c:v>
                </c:pt>
                <c:pt idx="2">
                  <c:v>1.6610810975896673</c:v>
                </c:pt>
                <c:pt idx="3">
                  <c:v>3.4552863278434875</c:v>
                </c:pt>
              </c:numCache>
            </c:numRef>
          </c:val>
          <c:smooth val="0"/>
          <c:extLst>
            <c:ext xmlns:c16="http://schemas.microsoft.com/office/drawing/2014/chart" uri="{C3380CC4-5D6E-409C-BE32-E72D297353CC}">
              <c16:uniqueId val="{00000000-661A-4104-9383-A6EA38C30C88}"/>
            </c:ext>
          </c:extLst>
        </c:ser>
        <c:ser>
          <c:idx val="1"/>
          <c:order val="1"/>
          <c:tx>
            <c:strRef>
              <c:f>Joonised!$M$182</c:f>
              <c:strCache>
                <c:ptCount val="1"/>
                <c:pt idx="0">
                  <c:v>Baasprognoos</c:v>
                </c:pt>
              </c:strCache>
            </c:strRef>
          </c:tx>
          <c:spPr>
            <a:ln>
              <a:solidFill>
                <a:schemeClr val="accent1"/>
              </a:solidFill>
            </a:ln>
          </c:spPr>
          <c:marker>
            <c:spPr>
              <a:solidFill>
                <a:schemeClr val="accent1"/>
              </a:solidFill>
              <a:ln>
                <a:solidFill>
                  <a:schemeClr val="accent1"/>
                </a:solidFill>
              </a:ln>
            </c:spPr>
          </c:marker>
          <c:cat>
            <c:strRef>
              <c:f>Joonised!$K$183:$K$186</c:f>
              <c:strCache>
                <c:ptCount val="4"/>
                <c:pt idx="0">
                  <c:v> '21</c:v>
                </c:pt>
                <c:pt idx="1">
                  <c:v> '22</c:v>
                </c:pt>
                <c:pt idx="2">
                  <c:v> '23</c:v>
                </c:pt>
                <c:pt idx="3">
                  <c:v> '24</c:v>
                </c:pt>
              </c:strCache>
            </c:strRef>
          </c:cat>
          <c:val>
            <c:numRef>
              <c:f>Joonised!$M$183:$M$186</c:f>
              <c:numCache>
                <c:formatCode>0.0</c:formatCode>
                <c:ptCount val="4"/>
                <c:pt idx="0">
                  <c:v>8.3496932774350885</c:v>
                </c:pt>
                <c:pt idx="1">
                  <c:v>-0.98014865309671295</c:v>
                </c:pt>
                <c:pt idx="2">
                  <c:v>1.2102277300242159</c:v>
                </c:pt>
                <c:pt idx="3">
                  <c:v>3.2168057738709788</c:v>
                </c:pt>
              </c:numCache>
            </c:numRef>
          </c:val>
          <c:smooth val="0"/>
          <c:extLst>
            <c:ext xmlns:c16="http://schemas.microsoft.com/office/drawing/2014/chart" uri="{C3380CC4-5D6E-409C-BE32-E72D297353CC}">
              <c16:uniqueId val="{00000001-661A-4104-9383-A6EA38C30C88}"/>
            </c:ext>
          </c:extLst>
        </c:ser>
        <c:dLbls>
          <c:showLegendKey val="0"/>
          <c:showVal val="0"/>
          <c:showCatName val="0"/>
          <c:showSerName val="0"/>
          <c:showPercent val="0"/>
          <c:showBubbleSize val="0"/>
        </c:dLbls>
        <c:marker val="1"/>
        <c:smooth val="0"/>
        <c:axId val="205761016"/>
        <c:axId val="205760232"/>
      </c:lineChart>
      <c:catAx>
        <c:axId val="205761016"/>
        <c:scaling>
          <c:orientation val="minMax"/>
        </c:scaling>
        <c:delete val="0"/>
        <c:axPos val="b"/>
        <c:numFmt formatCode="General" sourceLinked="1"/>
        <c:majorTickMark val="out"/>
        <c:minorTickMark val="none"/>
        <c:tickLblPos val="low"/>
        <c:spPr>
          <a:ln w="2570">
            <a:solidFill>
              <a:srgbClr val="000000"/>
            </a:solidFill>
            <a:prstDash val="solid"/>
          </a:ln>
        </c:spPr>
        <c:txPr>
          <a:bodyPr rot="0" vert="horz"/>
          <a:lstStyle/>
          <a:p>
            <a:pPr>
              <a:defRPr/>
            </a:pPr>
            <a:endParaRPr lang="et-EE"/>
          </a:p>
        </c:txPr>
        <c:crossAx val="205760232"/>
        <c:crosses val="autoZero"/>
        <c:auto val="1"/>
        <c:lblAlgn val="ctr"/>
        <c:lblOffset val="100"/>
        <c:noMultiLvlLbl val="0"/>
      </c:catAx>
      <c:valAx>
        <c:axId val="205760232"/>
        <c:scaling>
          <c:orientation val="minMax"/>
          <c:max val="10"/>
          <c:min val="-4"/>
        </c:scaling>
        <c:delete val="0"/>
        <c:axPos val="l"/>
        <c:majorGridlines>
          <c:spPr>
            <a:ln w="2570">
              <a:solidFill>
                <a:schemeClr val="bg1">
                  <a:lumMod val="50000"/>
                  <a:alpha val="50000"/>
                </a:schemeClr>
              </a:solidFill>
              <a:prstDash val="dash"/>
            </a:ln>
          </c:spPr>
        </c:majorGridlines>
        <c:numFmt formatCode="0" sourceLinked="0"/>
        <c:majorTickMark val="in"/>
        <c:minorTickMark val="none"/>
        <c:tickLblPos val="nextTo"/>
        <c:spPr>
          <a:ln w="2570">
            <a:solidFill>
              <a:srgbClr val="000000"/>
            </a:solidFill>
            <a:prstDash val="sysDash"/>
          </a:ln>
        </c:spPr>
        <c:txPr>
          <a:bodyPr rot="0" vert="horz"/>
          <a:lstStyle/>
          <a:p>
            <a:pPr>
              <a:defRPr/>
            </a:pPr>
            <a:endParaRPr lang="et-EE"/>
          </a:p>
        </c:txPr>
        <c:crossAx val="205761016"/>
        <c:crosses val="autoZero"/>
        <c:crossBetween val="between"/>
        <c:majorUnit val="2"/>
      </c:valAx>
      <c:spPr>
        <a:ln>
          <a:noFill/>
        </a:ln>
      </c:spPr>
    </c:plotArea>
    <c:legend>
      <c:legendPos val="b"/>
      <c:layout>
        <c:manualLayout>
          <c:xMode val="edge"/>
          <c:yMode val="edge"/>
          <c:x val="1.8018018018018021E-2"/>
          <c:y val="0.81723042432195958"/>
          <c:w val="0.96572355820387912"/>
          <c:h val="0.17137180404896937"/>
        </c:manualLayout>
      </c:layout>
      <c:overlay val="0"/>
    </c:legend>
    <c:plotVisOnly val="1"/>
    <c:dispBlanksAs val="gap"/>
    <c:showDLblsOverMax val="0"/>
  </c:chart>
  <c:spPr>
    <a:noFill/>
    <a:ln>
      <a:noFill/>
    </a:ln>
  </c:spPr>
  <c:txPr>
    <a:bodyPr/>
    <a:lstStyle/>
    <a:p>
      <a:pPr>
        <a:defRPr sz="833" b="0" i="0" u="none" strike="noStrike" baseline="0">
          <a:solidFill>
            <a:srgbClr val="000000"/>
          </a:solidFill>
          <a:latin typeface="Segoe UI Light" panose="020B0502040204020203" pitchFamily="34" charset="0"/>
          <a:ea typeface="Garamond"/>
          <a:cs typeface="Segoe UI Light" panose="020B0502040204020203" pitchFamily="34" charset="0"/>
        </a:defRPr>
      </a:pPr>
      <a:endParaRPr lang="et-EE"/>
    </a:p>
  </c:tx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0.63985</cdr:x>
      <cdr:y>0.04317</cdr:y>
    </cdr:from>
    <cdr:to>
      <cdr:x>0.94498</cdr:x>
      <cdr:y>0.68508</cdr:y>
    </cdr:to>
    <cdr:sp macro="" textlink="">
      <cdr:nvSpPr>
        <cdr:cNvPr id="2" name="Ristkülik 1">
          <a:extLst xmlns:a="http://schemas.openxmlformats.org/drawingml/2006/main">
            <a:ext uri="{FF2B5EF4-FFF2-40B4-BE49-F238E27FC236}">
              <a16:creationId xmlns:a16="http://schemas.microsoft.com/office/drawing/2014/main" id="{C0EBFBCA-216D-42CA-8187-150DC0E0B0EB}"/>
            </a:ext>
          </a:extLst>
        </cdr:cNvPr>
        <cdr:cNvSpPr/>
      </cdr:nvSpPr>
      <cdr:spPr>
        <a:xfrm xmlns:a="http://schemas.openxmlformats.org/drawingml/2006/main">
          <a:off x="1839637" y="83604"/>
          <a:ext cx="877304" cy="1243263"/>
        </a:xfrm>
        <a:prstGeom xmlns:a="http://schemas.openxmlformats.org/drawingml/2006/main" prst="rect">
          <a:avLst/>
        </a:prstGeom>
        <a:solidFill xmlns:a="http://schemas.openxmlformats.org/drawingml/2006/main">
          <a:schemeClr val="bg2">
            <a:lumMod val="90000"/>
            <a:alpha val="31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t-EE"/>
        </a:p>
      </cdr:txBody>
    </cdr:sp>
  </cdr:relSizeAnchor>
</c:userShapes>
</file>

<file path=word/drawings/drawing2.xml><?xml version="1.0" encoding="utf-8"?>
<c:userShapes xmlns:c="http://schemas.openxmlformats.org/drawingml/2006/chart">
  <cdr:relSizeAnchor xmlns:cdr="http://schemas.openxmlformats.org/drawingml/2006/chartDrawing">
    <cdr:from>
      <cdr:x>0.75167</cdr:x>
      <cdr:y>0.47881</cdr:y>
    </cdr:from>
    <cdr:to>
      <cdr:x>0.90539</cdr:x>
      <cdr:y>0.47881</cdr:y>
    </cdr:to>
    <cdr:cxnSp macro="">
      <cdr:nvCxnSpPr>
        <cdr:cNvPr id="10" name="Sirgkonnektor 9">
          <a:extLst xmlns:a="http://schemas.openxmlformats.org/drawingml/2006/main">
            <a:ext uri="{FF2B5EF4-FFF2-40B4-BE49-F238E27FC236}">
              <a16:creationId xmlns:a16="http://schemas.microsoft.com/office/drawing/2014/main" id="{C013D531-BB8C-4359-B02A-40F9C20588BF}"/>
            </a:ext>
          </a:extLst>
        </cdr:cNvPr>
        <cdr:cNvCxnSpPr/>
      </cdr:nvCxnSpPr>
      <cdr:spPr>
        <a:xfrm xmlns:a="http://schemas.openxmlformats.org/drawingml/2006/main">
          <a:off x="8028882" y="2359427"/>
          <a:ext cx="1641929" cy="0"/>
        </a:xfrm>
        <a:prstGeom xmlns:a="http://schemas.openxmlformats.org/drawingml/2006/main" prst="line">
          <a:avLst/>
        </a:prstGeom>
        <a:ln xmlns:a="http://schemas.openxmlformats.org/drawingml/2006/main" w="19050" cap="flat" cmpd="sng" algn="ctr">
          <a:solidFill>
            <a:schemeClr val="dk1"/>
          </a:solidFill>
          <a:prstDash val="sys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0.43734</cdr:x>
      <cdr:y>0.56141</cdr:y>
    </cdr:from>
    <cdr:to>
      <cdr:x>0.67155</cdr:x>
      <cdr:y>0.65596</cdr:y>
    </cdr:to>
    <cdr:sp macro="" textlink="">
      <cdr:nvSpPr>
        <cdr:cNvPr id="19" name="TextBox 1">
          <a:extLst xmlns:a="http://schemas.openxmlformats.org/drawingml/2006/main">
            <a:ext uri="{FF2B5EF4-FFF2-40B4-BE49-F238E27FC236}">
              <a16:creationId xmlns:a16="http://schemas.microsoft.com/office/drawing/2014/main" id="{E4310124-8CF5-4708-8C5A-6B4C0840EA38}"/>
            </a:ext>
          </a:extLst>
        </cdr:cNvPr>
        <cdr:cNvSpPr txBox="1"/>
      </cdr:nvSpPr>
      <cdr:spPr>
        <a:xfrm xmlns:a="http://schemas.openxmlformats.org/drawingml/2006/main" flipH="1">
          <a:off x="1287194" y="1486936"/>
          <a:ext cx="689317" cy="25042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t-EE" sz="1000">
              <a:latin typeface="Roboto Condensed" panose="02000000000000000000" pitchFamily="2" charset="0"/>
              <a:ea typeface="Roboto Condensed" panose="02000000000000000000" pitchFamily="2" charset="0"/>
            </a:rPr>
            <a:t>Detsember 2021 hinnatase</a:t>
          </a:r>
        </a:p>
      </cdr:txBody>
    </cdr:sp>
  </cdr:relSizeAnchor>
  <cdr:relSizeAnchor xmlns:cdr="http://schemas.openxmlformats.org/drawingml/2006/chartDrawing">
    <cdr:from>
      <cdr:x>0.55444</cdr:x>
      <cdr:y>0.48865</cdr:y>
    </cdr:from>
    <cdr:to>
      <cdr:x>0.7289</cdr:x>
      <cdr:y>0.56141</cdr:y>
    </cdr:to>
    <cdr:cxnSp macro="">
      <cdr:nvCxnSpPr>
        <cdr:cNvPr id="20" name="Sirge noolkonnektor 19">
          <a:extLst xmlns:a="http://schemas.openxmlformats.org/drawingml/2006/main">
            <a:ext uri="{FF2B5EF4-FFF2-40B4-BE49-F238E27FC236}">
              <a16:creationId xmlns:a16="http://schemas.microsoft.com/office/drawing/2014/main" id="{03EFBBED-7E3F-48CB-82F0-EDB676B6BEA1}"/>
            </a:ext>
          </a:extLst>
        </cdr:cNvPr>
        <cdr:cNvCxnSpPr>
          <a:stCxn xmlns:a="http://schemas.openxmlformats.org/drawingml/2006/main" id="19" idx="0"/>
        </cdr:cNvCxnSpPr>
      </cdr:nvCxnSpPr>
      <cdr:spPr>
        <a:xfrm xmlns:a="http://schemas.openxmlformats.org/drawingml/2006/main" flipV="1">
          <a:off x="1631852" y="1294227"/>
          <a:ext cx="513472" cy="192709"/>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i kujundus">
  <a:themeElements>
    <a:clrScheme name="Ukraina">
      <a:dk1>
        <a:sysClr val="windowText" lastClr="000000"/>
      </a:dk1>
      <a:lt1>
        <a:sysClr val="window" lastClr="FFFFFF"/>
      </a:lt1>
      <a:dk2>
        <a:srgbClr val="44546A"/>
      </a:dk2>
      <a:lt2>
        <a:srgbClr val="E7E6E6"/>
      </a:lt2>
      <a:accent1>
        <a:srgbClr val="005BBB"/>
      </a:accent1>
      <a:accent2>
        <a:srgbClr val="FFD500"/>
      </a:accent2>
      <a:accent3>
        <a:srgbClr val="819595"/>
      </a:accent3>
      <a:accent4>
        <a:srgbClr val="C1292E"/>
      </a:accent4>
      <a:accent5>
        <a:srgbClr val="14281D"/>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37EB47DA08D64A4995E303BD701AF774" ma:contentTypeVersion="5" ma:contentTypeDescription="Loo uus dokument" ma:contentTypeScope="" ma:versionID="7d9f3e27adca8199813549c36b869c4a">
  <xsd:schema xmlns:xsd="http://www.w3.org/2001/XMLSchema" xmlns:xs="http://www.w3.org/2001/XMLSchema" xmlns:p="http://schemas.microsoft.com/office/2006/metadata/properties" xmlns:ns3="37d5ec07-f365-42ef-b0e2-d7b4d894c041" xmlns:ns4="e7929dce-46fc-46f7-8f30-5830476e84db" targetNamespace="http://schemas.microsoft.com/office/2006/metadata/properties" ma:root="true" ma:fieldsID="432b36296188a0495ba6ddf8e41662b7" ns3:_="" ns4:_="">
    <xsd:import namespace="37d5ec07-f365-42ef-b0e2-d7b4d894c041"/>
    <xsd:import namespace="e7929dce-46fc-46f7-8f30-5830476e84d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5ec07-f365-42ef-b0e2-d7b4d894c041" elementFormDefault="qualified">
    <xsd:import namespace="http://schemas.microsoft.com/office/2006/documentManagement/types"/>
    <xsd:import namespace="http://schemas.microsoft.com/office/infopath/2007/PartnerControls"/>
    <xsd:element name="SharedWithUsers" ma:index="8"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Ühiskasutusse andmise üksikasjad" ma:internalName="SharedWithDetails" ma:readOnly="true">
      <xsd:simpleType>
        <xsd:restriction base="dms:Note">
          <xsd:maxLength value="255"/>
        </xsd:restriction>
      </xsd:simpleType>
    </xsd:element>
    <xsd:element name="SharingHintHash" ma:index="10" nillable="true" ma:displayName="Vihjeräsi jagami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929dce-46fc-46f7-8f30-5830476e84d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D13853-0D3B-4943-BD03-FE7024B6970F}">
  <ds:schemaRefs>
    <ds:schemaRef ds:uri="http://schemas.microsoft.com/sharepoint/v3/contenttype/forms"/>
  </ds:schemaRefs>
</ds:datastoreItem>
</file>

<file path=customXml/itemProps2.xml><?xml version="1.0" encoding="utf-8"?>
<ds:datastoreItem xmlns:ds="http://schemas.openxmlformats.org/officeDocument/2006/customXml" ds:itemID="{00DEFC10-A518-415A-962F-D35CB1D5561E}">
  <ds:schemaRefs>
    <ds:schemaRef ds:uri="http://schemas.openxmlformats.org/officeDocument/2006/bibliography"/>
  </ds:schemaRefs>
</ds:datastoreItem>
</file>

<file path=customXml/itemProps3.xml><?xml version="1.0" encoding="utf-8"?>
<ds:datastoreItem xmlns:ds="http://schemas.openxmlformats.org/officeDocument/2006/customXml" ds:itemID="{868FF967-DDBC-43A3-A13E-A44E315E1400}">
  <ds:schemaRefs>
    <ds:schemaRef ds:uri="http://purl.org/dc/terms/"/>
    <ds:schemaRef ds:uri="http://schemas.microsoft.com/office/2006/documentManagement/types"/>
    <ds:schemaRef ds:uri="http://purl.org/dc/dcmitype/"/>
    <ds:schemaRef ds:uri="http://purl.org/dc/elements/1.1/"/>
    <ds:schemaRef ds:uri="http://schemas.microsoft.com/office/infopath/2007/PartnerControls"/>
    <ds:schemaRef ds:uri="http://www.w3.org/XML/1998/namespace"/>
    <ds:schemaRef ds:uri="e7929dce-46fc-46f7-8f30-5830476e84db"/>
    <ds:schemaRef ds:uri="http://schemas.openxmlformats.org/package/2006/metadata/core-properties"/>
    <ds:schemaRef ds:uri="37d5ec07-f365-42ef-b0e2-d7b4d894c041"/>
    <ds:schemaRef ds:uri="http://schemas.microsoft.com/office/2006/metadata/properties"/>
  </ds:schemaRefs>
</ds:datastoreItem>
</file>

<file path=customXml/itemProps4.xml><?xml version="1.0" encoding="utf-8"?>
<ds:datastoreItem xmlns:ds="http://schemas.openxmlformats.org/officeDocument/2006/customXml" ds:itemID="{B2B2812F-74B0-434C-9E0D-47C41575ED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5ec07-f365-42ef-b0e2-d7b4d894c041"/>
    <ds:schemaRef ds:uri="e7929dce-46fc-46f7-8f30-5830476e84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664</TotalTime>
  <Pages>37</Pages>
  <Words>13377</Words>
  <Characters>77588</Characters>
  <Application>Microsoft Office Word</Application>
  <DocSecurity>8</DocSecurity>
  <Lines>646</Lines>
  <Paragraphs>181</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Justiitsministeerium</Company>
  <LinksUpToDate>false</LinksUpToDate>
  <CharactersWithSpaces>90784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Risto Kaarna</dc:creator>
  <cp:keywords/>
  <dc:description/>
  <cp:lastModifiedBy>Erki Lõhmuste</cp:lastModifiedBy>
  <cp:revision>95</cp:revision>
  <cp:lastPrinted>2018-02-08T08:55:00Z</cp:lastPrinted>
  <dcterms:created xsi:type="dcterms:W3CDTF">2022-04-06T08:24:00Z</dcterms:created>
  <dcterms:modified xsi:type="dcterms:W3CDTF">2022-04-07T10:26:00Z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0x01010037EB47DA08D64A4995E303BD701AF774</vt:lpwstr>
  </property>
</Properties>
</file>